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0"/>
        <w:jc w:val="center"/>
        <w:rPr>
          <w:rFonts w:ascii="宋体" w:hAnsi="宋体" w:cs="Arial"/>
          <w:b/>
          <w:sz w:val="36"/>
          <w:szCs w:val="36"/>
        </w:rPr>
      </w:pPr>
      <w:bookmarkStart w:id="2" w:name="_GoBack"/>
      <w:bookmarkEnd w:id="2"/>
      <w:r>
        <w:rPr>
          <w:rFonts w:hint="eastAsia" w:ascii="宋体" w:hAnsi="宋体" w:cs="Arial"/>
          <w:b/>
          <w:sz w:val="36"/>
          <w:szCs w:val="36"/>
        </w:rPr>
        <w:drawing>
          <wp:anchor distT="0" distB="0" distL="114300" distR="114300" simplePos="0" relativeHeight="251658240" behindDoc="1" locked="0" layoutInCell="1" allowOverlap="1">
            <wp:simplePos x="0" y="0"/>
            <wp:positionH relativeFrom="column">
              <wp:posOffset>113030</wp:posOffset>
            </wp:positionH>
            <wp:positionV relativeFrom="paragraph">
              <wp:posOffset>660400</wp:posOffset>
            </wp:positionV>
            <wp:extent cx="5267960" cy="7456805"/>
            <wp:effectExtent l="0" t="0" r="0" b="0"/>
            <wp:wrapNone/>
            <wp:docPr id="1" name="图片 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水印"/>
                    <pic:cNvPicPr>
                      <a:picLocks noChangeAspect="1"/>
                    </pic:cNvPicPr>
                  </pic:nvPicPr>
                  <pic:blipFill>
                    <a:blip r:embed="rId7"/>
                    <a:stretch>
                      <a:fillRect/>
                    </a:stretch>
                  </pic:blipFill>
                  <pic:spPr>
                    <a:xfrm>
                      <a:off x="0" y="0"/>
                      <a:ext cx="5267960" cy="7456805"/>
                    </a:xfrm>
                    <a:prstGeom prst="rect">
                      <a:avLst/>
                    </a:prstGeom>
                    <a:noFill/>
                    <a:ln w="9525">
                      <a:noFill/>
                    </a:ln>
                  </pic:spPr>
                </pic:pic>
              </a:graphicData>
            </a:graphic>
          </wp:anchor>
        </w:drawing>
      </w:r>
    </w:p>
    <w:p>
      <w:pPr>
        <w:spacing w:beforeLines="50" w:afterLines="500"/>
        <w:jc w:val="center"/>
        <w:rPr>
          <w:rFonts w:ascii="宋体" w:hAnsi="宋体" w:cs="Arial"/>
          <w:b/>
          <w:sz w:val="36"/>
          <w:szCs w:val="36"/>
        </w:rPr>
      </w:pPr>
      <w:r>
        <w:rPr>
          <w:rFonts w:hint="eastAsia" w:ascii="宋体" w:hAnsi="宋体" w:cs="Arial"/>
          <w:b/>
          <w:sz w:val="36"/>
          <w:szCs w:val="36"/>
        </w:rPr>
        <w:t>宝付网络科技（上海）有限公司网络支付合作协议</w:t>
      </w:r>
    </w:p>
    <w:p>
      <w:pPr>
        <w:spacing w:beforeLines="50" w:after="100" w:afterAutospacing="1"/>
        <w:rPr>
          <w:rFonts w:ascii="宋体" w:hAnsi="宋体" w:cs="Arial"/>
          <w:sz w:val="44"/>
          <w:szCs w:val="32"/>
        </w:rPr>
      </w:pPr>
    </w:p>
    <w:p>
      <w:pPr>
        <w:spacing w:beforeLines="50" w:after="100" w:afterAutospacing="1"/>
        <w:rPr>
          <w:rFonts w:ascii="宋体" w:hAnsi="宋体" w:cs="Arial"/>
          <w:sz w:val="44"/>
          <w:szCs w:val="32"/>
        </w:rPr>
      </w:pPr>
    </w:p>
    <w:p>
      <w:pPr>
        <w:spacing w:beforeLines="50" w:after="100" w:afterAutospacing="1"/>
        <w:rPr>
          <w:rFonts w:ascii="宋体" w:hAnsi="宋体" w:cs="Arial"/>
          <w:sz w:val="44"/>
          <w:szCs w:val="32"/>
        </w:rPr>
      </w:pPr>
    </w:p>
    <w:p>
      <w:pPr>
        <w:spacing w:beforeLines="50" w:after="100" w:afterAutospacing="1"/>
        <w:rPr>
          <w:rFonts w:ascii="宋体" w:hAnsi="宋体" w:cs="Arial"/>
          <w:sz w:val="44"/>
          <w:szCs w:val="32"/>
        </w:rPr>
      </w:pPr>
    </w:p>
    <w:p>
      <w:pPr>
        <w:spacing w:beforeLines="50" w:after="100" w:afterAutospacing="1"/>
        <w:rPr>
          <w:rFonts w:ascii="宋体" w:hAnsi="宋体" w:cs="Arial"/>
          <w:sz w:val="44"/>
          <w:szCs w:val="32"/>
        </w:rPr>
      </w:pPr>
    </w:p>
    <w:p>
      <w:pPr>
        <w:spacing w:beforeLines="50"/>
        <w:ind w:left="1800" w:leftChars="857"/>
        <w:rPr>
          <w:rFonts w:ascii="宋体" w:hAnsi="宋体"/>
          <w:sz w:val="24"/>
          <w:szCs w:val="24"/>
          <w:u w:val="single"/>
        </w:rPr>
      </w:pPr>
      <w:r>
        <w:rPr>
          <w:rFonts w:hint="eastAsia" w:ascii="宋体" w:hAnsi="宋体"/>
          <w:sz w:val="24"/>
          <w:szCs w:val="24"/>
        </w:rPr>
        <w:t>甲    方：</w:t>
      </w:r>
      <w:r>
        <w:rPr>
          <w:rFonts w:ascii="宋体" w:hAnsi="宋体"/>
          <w:sz w:val="24"/>
          <w:szCs w:val="24"/>
          <w:u w:val="single"/>
        </w:rPr>
        <w:t xml:space="preserve"> </w:t>
      </w:r>
    </w:p>
    <w:p>
      <w:pPr>
        <w:spacing w:beforeLines="50"/>
        <w:ind w:left="1800" w:leftChars="857"/>
        <w:rPr>
          <w:rFonts w:ascii="宋体" w:hAnsi="宋体"/>
          <w:sz w:val="24"/>
          <w:szCs w:val="24"/>
        </w:rPr>
      </w:pPr>
      <w:r>
        <w:rPr>
          <w:rFonts w:hint="eastAsia" w:ascii="宋体" w:hAnsi="宋体"/>
          <w:sz w:val="24"/>
          <w:szCs w:val="24"/>
        </w:rPr>
        <w:t>乙    方：</w:t>
      </w:r>
      <w:r>
        <w:rPr>
          <w:rFonts w:hint="eastAsia" w:ascii="宋体" w:hAnsi="宋体"/>
          <w:bCs/>
          <w:color w:val="000000"/>
          <w:sz w:val="24"/>
          <w:szCs w:val="24"/>
          <w:u w:val="single"/>
        </w:rPr>
        <w:t>宝付</w:t>
      </w:r>
      <w:r>
        <w:rPr>
          <w:rFonts w:hint="eastAsia" w:ascii="宋体" w:hAnsi="宋体"/>
          <w:color w:val="000000"/>
          <w:sz w:val="24"/>
          <w:szCs w:val="24"/>
          <w:u w:val="single"/>
        </w:rPr>
        <w:t xml:space="preserve">网络科技（上海）有限公司  </w:t>
      </w:r>
    </w:p>
    <w:p>
      <w:pPr>
        <w:spacing w:beforeLines="50"/>
        <w:ind w:left="1800" w:leftChars="857"/>
        <w:rPr>
          <w:rFonts w:ascii="宋体" w:hAnsi="宋体"/>
          <w:kern w:val="0"/>
          <w:sz w:val="24"/>
          <w:szCs w:val="24"/>
          <w:u w:val="single"/>
        </w:rPr>
      </w:pPr>
      <w:r>
        <w:rPr>
          <w:rFonts w:hint="eastAsia" w:ascii="宋体" w:hAnsi="宋体"/>
          <w:sz w:val="24"/>
          <w:szCs w:val="24"/>
        </w:rPr>
        <w:t>签订日期：</w:t>
      </w:r>
    </w:p>
    <w:p>
      <w:pPr>
        <w:spacing w:beforeLines="50"/>
        <w:ind w:left="1800" w:leftChars="857"/>
        <w:rPr>
          <w:rFonts w:ascii="宋体" w:hAnsi="宋体"/>
          <w:kern w:val="0"/>
          <w:sz w:val="24"/>
          <w:szCs w:val="24"/>
          <w:u w:val="single"/>
        </w:rPr>
      </w:pPr>
      <w:r>
        <w:rPr>
          <w:rFonts w:hint="eastAsia" w:ascii="宋体" w:hAnsi="宋体"/>
          <w:sz w:val="24"/>
          <w:szCs w:val="24"/>
        </w:rPr>
        <w:t>签约地点：</w:t>
      </w:r>
      <w:r>
        <w:rPr>
          <w:rFonts w:hint="eastAsia" w:ascii="宋体" w:hAnsi="宋体"/>
          <w:sz w:val="24"/>
          <w:szCs w:val="24"/>
          <w:u w:val="single"/>
        </w:rPr>
        <w:t xml:space="preserve">           上海</w:t>
      </w:r>
    </w:p>
    <w:p>
      <w:pPr>
        <w:spacing w:beforeLines="50"/>
        <w:ind w:left="1800" w:leftChars="857"/>
        <w:rPr>
          <w:rFonts w:ascii="宋体" w:hAnsi="宋体"/>
          <w:sz w:val="24"/>
          <w:szCs w:val="24"/>
          <w:u w:val="single"/>
        </w:rPr>
      </w:pPr>
      <w:r>
        <w:rPr>
          <w:rFonts w:hint="eastAsia" w:ascii="宋体" w:hAnsi="宋体"/>
          <w:kern w:val="0"/>
          <w:sz w:val="24"/>
          <w:szCs w:val="24"/>
        </w:rPr>
        <w:t>甲方商户号：</w:t>
      </w:r>
    </w:p>
    <w:p>
      <w:pPr>
        <w:spacing w:beforeLines="50"/>
        <w:ind w:left="1800" w:leftChars="857"/>
        <w:rPr>
          <w:rFonts w:ascii="宋体" w:hAnsi="宋体"/>
          <w:sz w:val="24"/>
          <w:szCs w:val="24"/>
        </w:rPr>
      </w:pPr>
    </w:p>
    <w:p>
      <w:pPr>
        <w:spacing w:beforeLines="50" w:afterLines="100"/>
        <w:jc w:val="center"/>
        <w:rPr>
          <w:rFonts w:ascii="宋体" w:hAnsi="宋体"/>
          <w:b/>
          <w:kern w:val="0"/>
          <w:sz w:val="28"/>
          <w:szCs w:val="28"/>
        </w:rPr>
      </w:pPr>
    </w:p>
    <w:p>
      <w:pPr>
        <w:spacing w:beforeLines="50" w:afterLines="100"/>
        <w:jc w:val="center"/>
        <w:rPr>
          <w:rFonts w:ascii="宋体" w:hAnsi="宋体"/>
          <w:b/>
          <w:kern w:val="0"/>
          <w:sz w:val="28"/>
          <w:szCs w:val="28"/>
        </w:rPr>
      </w:pPr>
    </w:p>
    <w:p>
      <w:pPr>
        <w:tabs>
          <w:tab w:val="left" w:pos="180"/>
          <w:tab w:val="left" w:pos="425"/>
        </w:tabs>
        <w:spacing w:beforeLines="100" w:line="276" w:lineRule="auto"/>
        <w:rPr>
          <w:rFonts w:ascii="宋体" w:hAnsi="宋体"/>
          <w:b/>
          <w:kern w:val="0"/>
          <w:szCs w:val="21"/>
        </w:rPr>
      </w:pPr>
      <w:r>
        <w:rPr>
          <w:rFonts w:hint="eastAsia" w:ascii="宋体" w:hAnsi="宋体"/>
          <w:b/>
          <w:kern w:val="0"/>
          <w:szCs w:val="21"/>
        </w:rPr>
        <w:t>一、甲乙双方确定的基本信息和账户信息如下：</w:t>
      </w:r>
    </w:p>
    <w:tbl>
      <w:tblPr>
        <w:tblStyle w:val="9"/>
        <w:tblW w:w="8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3119"/>
        <w:gridCol w:w="1701"/>
        <w:gridCol w:w="2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292" w:type="dxa"/>
            <w:vAlign w:val="center"/>
          </w:tcPr>
          <w:p>
            <w:pPr>
              <w:tabs>
                <w:tab w:val="left" w:pos="4320"/>
                <w:tab w:val="left" w:pos="7200"/>
              </w:tabs>
              <w:spacing w:line="276" w:lineRule="auto"/>
              <w:jc w:val="center"/>
              <w:rPr>
                <w:rFonts w:ascii="宋体" w:hAnsi="宋体"/>
                <w:b/>
                <w:kern w:val="0"/>
                <w:szCs w:val="21"/>
              </w:rPr>
            </w:pPr>
            <w:r>
              <w:rPr>
                <w:rFonts w:hint="eastAsia" w:ascii="宋体" w:hAnsi="宋体"/>
                <w:b/>
                <w:kern w:val="0"/>
                <w:szCs w:val="21"/>
              </w:rPr>
              <w:drawing>
                <wp:anchor distT="0" distB="0" distL="114300" distR="114300" simplePos="0" relativeHeight="251659264" behindDoc="1" locked="0" layoutInCell="1" allowOverlap="1">
                  <wp:simplePos x="0" y="0"/>
                  <wp:positionH relativeFrom="column">
                    <wp:posOffset>-239395</wp:posOffset>
                  </wp:positionH>
                  <wp:positionV relativeFrom="paragraph">
                    <wp:posOffset>250825</wp:posOffset>
                  </wp:positionV>
                  <wp:extent cx="5267960" cy="7456805"/>
                  <wp:effectExtent l="0" t="0" r="0" b="0"/>
                  <wp:wrapNone/>
                  <wp:docPr id="2" name="图片 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水印"/>
                          <pic:cNvPicPr>
                            <a:picLocks noChangeAspect="1"/>
                          </pic:cNvPicPr>
                        </pic:nvPicPr>
                        <pic:blipFill>
                          <a:blip r:embed="rId7"/>
                          <a:stretch>
                            <a:fillRect/>
                          </a:stretch>
                        </pic:blipFill>
                        <pic:spPr>
                          <a:xfrm>
                            <a:off x="0" y="0"/>
                            <a:ext cx="5267960" cy="7456805"/>
                          </a:xfrm>
                          <a:prstGeom prst="rect">
                            <a:avLst/>
                          </a:prstGeom>
                          <a:noFill/>
                          <a:ln w="9525">
                            <a:noFill/>
                          </a:ln>
                        </pic:spPr>
                      </pic:pic>
                    </a:graphicData>
                  </a:graphic>
                </wp:anchor>
              </w:drawing>
            </w:r>
            <w:r>
              <w:rPr>
                <w:rFonts w:hint="eastAsia" w:ascii="宋体" w:hAnsi="宋体"/>
                <w:b/>
                <w:kern w:val="0"/>
                <w:szCs w:val="21"/>
              </w:rPr>
              <w:t>甲  方</w:t>
            </w:r>
          </w:p>
        </w:tc>
        <w:tc>
          <w:tcPr>
            <w:tcW w:w="7244" w:type="dxa"/>
            <w:gridSpan w:val="3"/>
            <w:vAlign w:val="center"/>
          </w:tcPr>
          <w:p>
            <w:pPr>
              <w:spacing w:line="276" w:lineRule="auto"/>
              <w:rPr>
                <w:rFonts w:ascii="宋体" w:hAnsi="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1292" w:type="dxa"/>
            <w:vAlign w:val="center"/>
          </w:tcPr>
          <w:p>
            <w:pPr>
              <w:tabs>
                <w:tab w:val="left" w:pos="4320"/>
                <w:tab w:val="left" w:pos="7200"/>
              </w:tabs>
              <w:spacing w:line="276" w:lineRule="auto"/>
              <w:jc w:val="center"/>
              <w:rPr>
                <w:rFonts w:ascii="宋体" w:hAnsi="宋体"/>
                <w:b/>
                <w:kern w:val="0"/>
                <w:szCs w:val="21"/>
              </w:rPr>
            </w:pPr>
            <w:r>
              <w:rPr>
                <w:rFonts w:hint="eastAsia" w:ascii="宋体" w:hAnsi="宋体"/>
                <w:b/>
                <w:kern w:val="0"/>
                <w:szCs w:val="21"/>
              </w:rPr>
              <w:t>法定代表人姓名</w:t>
            </w:r>
          </w:p>
        </w:tc>
        <w:tc>
          <w:tcPr>
            <w:tcW w:w="3119" w:type="dxa"/>
            <w:vAlign w:val="center"/>
          </w:tcPr>
          <w:p>
            <w:pPr>
              <w:spacing w:line="276" w:lineRule="auto"/>
              <w:rPr>
                <w:rFonts w:ascii="宋体" w:hAnsi="宋体"/>
                <w:b/>
                <w:kern w:val="0"/>
                <w:szCs w:val="21"/>
              </w:rPr>
            </w:pPr>
          </w:p>
        </w:tc>
        <w:tc>
          <w:tcPr>
            <w:tcW w:w="1701" w:type="dxa"/>
            <w:vAlign w:val="center"/>
          </w:tcPr>
          <w:p>
            <w:pPr>
              <w:spacing w:line="276" w:lineRule="auto"/>
              <w:jc w:val="center"/>
              <w:rPr>
                <w:rFonts w:ascii="宋体" w:hAnsi="宋体"/>
                <w:b/>
                <w:kern w:val="0"/>
                <w:szCs w:val="21"/>
              </w:rPr>
            </w:pPr>
            <w:r>
              <w:rPr>
                <w:rFonts w:hint="eastAsia" w:ascii="宋体" w:hAnsi="宋体"/>
                <w:b/>
                <w:kern w:val="0"/>
                <w:szCs w:val="21"/>
              </w:rPr>
              <w:t>固定电话</w:t>
            </w:r>
          </w:p>
        </w:tc>
        <w:tc>
          <w:tcPr>
            <w:tcW w:w="2424" w:type="dxa"/>
            <w:vAlign w:val="center"/>
          </w:tcPr>
          <w:p>
            <w:pPr>
              <w:spacing w:line="276" w:lineRule="auto"/>
              <w:rPr>
                <w:rFonts w:ascii="宋体" w:hAnsi="宋体"/>
                <w:b/>
                <w:kern w:val="0"/>
                <w:szCs w:val="21"/>
              </w:rPr>
            </w:pPr>
            <w:r>
              <w:rPr>
                <w:rFonts w:hint="eastAsia" w:ascii="宋体" w:hAnsi="宋体"/>
                <w:b/>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292" w:type="dxa"/>
            <w:vAlign w:val="center"/>
          </w:tcPr>
          <w:p>
            <w:pPr>
              <w:tabs>
                <w:tab w:val="left" w:pos="4320"/>
                <w:tab w:val="left" w:pos="7200"/>
              </w:tabs>
              <w:spacing w:line="276" w:lineRule="auto"/>
              <w:jc w:val="center"/>
              <w:rPr>
                <w:rFonts w:ascii="宋体" w:hAnsi="宋体"/>
                <w:b/>
                <w:kern w:val="0"/>
                <w:szCs w:val="21"/>
              </w:rPr>
            </w:pPr>
            <w:r>
              <w:rPr>
                <w:rFonts w:hint="eastAsia" w:ascii="宋体" w:hAnsi="宋体"/>
                <w:b/>
                <w:kern w:val="0"/>
                <w:szCs w:val="21"/>
              </w:rPr>
              <w:t>地  址</w:t>
            </w:r>
          </w:p>
        </w:tc>
        <w:tc>
          <w:tcPr>
            <w:tcW w:w="3119" w:type="dxa"/>
            <w:vAlign w:val="center"/>
          </w:tcPr>
          <w:p>
            <w:pPr>
              <w:spacing w:line="276" w:lineRule="auto"/>
              <w:rPr>
                <w:rFonts w:ascii="宋体" w:hAnsi="宋体"/>
                <w:b/>
                <w:kern w:val="0"/>
                <w:szCs w:val="21"/>
              </w:rPr>
            </w:pPr>
          </w:p>
        </w:tc>
        <w:tc>
          <w:tcPr>
            <w:tcW w:w="1701" w:type="dxa"/>
            <w:vAlign w:val="center"/>
          </w:tcPr>
          <w:p>
            <w:pPr>
              <w:tabs>
                <w:tab w:val="left" w:pos="4320"/>
                <w:tab w:val="left" w:pos="7200"/>
              </w:tabs>
              <w:spacing w:line="276" w:lineRule="auto"/>
              <w:jc w:val="center"/>
              <w:rPr>
                <w:rFonts w:ascii="宋体" w:hAnsi="宋体"/>
                <w:b/>
                <w:kern w:val="0"/>
                <w:szCs w:val="21"/>
              </w:rPr>
            </w:pPr>
            <w:r>
              <w:rPr>
                <w:rFonts w:hint="eastAsia" w:ascii="宋体" w:hAnsi="宋体"/>
                <w:b/>
                <w:kern w:val="0"/>
                <w:szCs w:val="21"/>
              </w:rPr>
              <w:t>绑定手机</w:t>
            </w:r>
          </w:p>
        </w:tc>
        <w:tc>
          <w:tcPr>
            <w:tcW w:w="2424" w:type="dxa"/>
            <w:vAlign w:val="center"/>
          </w:tcPr>
          <w:p>
            <w:pPr>
              <w:tabs>
                <w:tab w:val="left" w:pos="4320"/>
                <w:tab w:val="left" w:pos="7200"/>
              </w:tabs>
              <w:spacing w:line="276" w:lineRule="auto"/>
              <w:rPr>
                <w:rFonts w:ascii="宋体" w:hAnsi="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292" w:type="dxa"/>
            <w:vAlign w:val="center"/>
          </w:tcPr>
          <w:p>
            <w:pPr>
              <w:tabs>
                <w:tab w:val="left" w:pos="4320"/>
                <w:tab w:val="left" w:pos="7200"/>
              </w:tabs>
              <w:spacing w:line="276" w:lineRule="auto"/>
              <w:jc w:val="center"/>
              <w:rPr>
                <w:rFonts w:ascii="宋体" w:hAnsi="宋体"/>
                <w:b/>
                <w:kern w:val="0"/>
                <w:szCs w:val="21"/>
              </w:rPr>
            </w:pPr>
            <w:r>
              <w:rPr>
                <w:rFonts w:hint="eastAsia" w:ascii="宋体" w:hAnsi="宋体"/>
                <w:b/>
                <w:kern w:val="0"/>
                <w:szCs w:val="21"/>
              </w:rPr>
              <w:t>网站域名</w:t>
            </w:r>
          </w:p>
        </w:tc>
        <w:tc>
          <w:tcPr>
            <w:tcW w:w="3119" w:type="dxa"/>
            <w:vAlign w:val="center"/>
          </w:tcPr>
          <w:p>
            <w:pPr>
              <w:spacing w:line="276" w:lineRule="auto"/>
              <w:rPr>
                <w:rFonts w:ascii="宋体" w:hAnsi="宋体"/>
                <w:b/>
                <w:kern w:val="0"/>
                <w:szCs w:val="21"/>
              </w:rPr>
            </w:pPr>
            <w:r>
              <w:rPr>
                <w:rFonts w:hint="eastAsia" w:ascii="宋体" w:hAnsi="宋体"/>
                <w:b/>
                <w:kern w:val="0"/>
                <w:szCs w:val="21"/>
              </w:rPr>
              <w:t>/</w:t>
            </w:r>
          </w:p>
        </w:tc>
        <w:tc>
          <w:tcPr>
            <w:tcW w:w="1701" w:type="dxa"/>
            <w:vAlign w:val="center"/>
          </w:tcPr>
          <w:p>
            <w:pPr>
              <w:spacing w:line="276" w:lineRule="auto"/>
              <w:ind w:firstLine="211" w:firstLineChars="100"/>
              <w:rPr>
                <w:rFonts w:ascii="宋体" w:hAnsi="宋体"/>
                <w:b/>
                <w:kern w:val="0"/>
                <w:szCs w:val="21"/>
              </w:rPr>
            </w:pPr>
            <w:r>
              <w:rPr>
                <w:rFonts w:hint="eastAsia" w:ascii="宋体" w:hAnsi="宋体"/>
                <w:b/>
                <w:kern w:val="0"/>
                <w:szCs w:val="21"/>
              </w:rPr>
              <w:t>业务联系人</w:t>
            </w:r>
          </w:p>
        </w:tc>
        <w:tc>
          <w:tcPr>
            <w:tcW w:w="2424" w:type="dxa"/>
            <w:vAlign w:val="center"/>
          </w:tcPr>
          <w:p>
            <w:pPr>
              <w:spacing w:line="276" w:lineRule="auto"/>
              <w:rPr>
                <w:rFonts w:ascii="宋体" w:hAnsi="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292" w:type="dxa"/>
            <w:vAlign w:val="center"/>
          </w:tcPr>
          <w:p>
            <w:pPr>
              <w:tabs>
                <w:tab w:val="left" w:pos="4320"/>
                <w:tab w:val="left" w:pos="7200"/>
              </w:tabs>
              <w:spacing w:line="276" w:lineRule="auto"/>
              <w:jc w:val="center"/>
              <w:rPr>
                <w:rFonts w:ascii="宋体" w:hAnsi="宋体"/>
                <w:b/>
                <w:kern w:val="0"/>
                <w:szCs w:val="21"/>
              </w:rPr>
            </w:pPr>
            <w:r>
              <w:rPr>
                <w:rFonts w:hint="eastAsia" w:ascii="宋体" w:hAnsi="宋体"/>
                <w:b/>
                <w:kern w:val="0"/>
                <w:szCs w:val="21"/>
              </w:rPr>
              <w:t>业务邮箱</w:t>
            </w:r>
          </w:p>
        </w:tc>
        <w:tc>
          <w:tcPr>
            <w:tcW w:w="3119" w:type="dxa"/>
            <w:vAlign w:val="center"/>
          </w:tcPr>
          <w:p>
            <w:pPr>
              <w:spacing w:line="276" w:lineRule="auto"/>
              <w:rPr>
                <w:rFonts w:ascii="宋体" w:hAnsi="宋体"/>
                <w:b/>
                <w:kern w:val="0"/>
                <w:szCs w:val="21"/>
              </w:rPr>
            </w:pPr>
          </w:p>
        </w:tc>
        <w:tc>
          <w:tcPr>
            <w:tcW w:w="1701" w:type="dxa"/>
            <w:vAlign w:val="center"/>
          </w:tcPr>
          <w:p>
            <w:pPr>
              <w:tabs>
                <w:tab w:val="left" w:pos="4320"/>
                <w:tab w:val="left" w:pos="7200"/>
              </w:tabs>
              <w:spacing w:line="276" w:lineRule="auto"/>
              <w:jc w:val="center"/>
              <w:rPr>
                <w:rFonts w:ascii="宋体" w:hAnsi="宋体"/>
                <w:b/>
                <w:kern w:val="0"/>
                <w:szCs w:val="21"/>
              </w:rPr>
            </w:pPr>
            <w:r>
              <w:rPr>
                <w:rFonts w:hint="eastAsia" w:ascii="宋体" w:hAnsi="宋体"/>
                <w:b/>
                <w:kern w:val="0"/>
                <w:szCs w:val="21"/>
              </w:rPr>
              <w:t>业务电话</w:t>
            </w:r>
          </w:p>
        </w:tc>
        <w:tc>
          <w:tcPr>
            <w:tcW w:w="2424" w:type="dxa"/>
            <w:vAlign w:val="center"/>
          </w:tcPr>
          <w:p>
            <w:pPr>
              <w:tabs>
                <w:tab w:val="left" w:pos="4320"/>
                <w:tab w:val="left" w:pos="7200"/>
              </w:tabs>
              <w:spacing w:line="276" w:lineRule="auto"/>
              <w:rPr>
                <w:rFonts w:ascii="宋体" w:hAnsi="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8536" w:type="dxa"/>
            <w:gridSpan w:val="4"/>
            <w:vAlign w:val="center"/>
          </w:tcPr>
          <w:p>
            <w:pPr>
              <w:spacing w:line="276" w:lineRule="auto"/>
              <w:rPr>
                <w:rFonts w:ascii="宋体" w:hAnsi="宋体"/>
                <w:b/>
                <w:kern w:val="0"/>
                <w:szCs w:val="21"/>
              </w:rPr>
            </w:pPr>
            <w:r>
              <w:rPr>
                <w:rFonts w:hint="eastAsia" w:ascii="宋体" w:hAnsi="宋体"/>
                <w:b/>
                <w:kern w:val="0"/>
                <w:szCs w:val="21"/>
              </w:rPr>
              <w:t>甲方使用乙方支付接口的业务范围：【电子商务】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8536" w:type="dxa"/>
            <w:gridSpan w:val="4"/>
            <w:vAlign w:val="center"/>
          </w:tcPr>
          <w:p>
            <w:pPr>
              <w:spacing w:line="276" w:lineRule="auto"/>
              <w:rPr>
                <w:rFonts w:ascii="宋体" w:hAnsi="宋体"/>
                <w:b/>
                <w:kern w:val="0"/>
                <w:szCs w:val="21"/>
              </w:rPr>
            </w:pPr>
            <w:r>
              <w:rPr>
                <w:rFonts w:hint="eastAsia" w:ascii="宋体" w:hAnsi="宋体"/>
                <w:b/>
                <w:kern w:val="0"/>
                <w:szCs w:val="21"/>
              </w:rPr>
              <w:t>结算账户信息：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292" w:type="dxa"/>
            <w:vAlign w:val="center"/>
          </w:tcPr>
          <w:p>
            <w:pPr>
              <w:tabs>
                <w:tab w:val="left" w:pos="4320"/>
                <w:tab w:val="left" w:pos="7200"/>
              </w:tabs>
              <w:spacing w:line="276" w:lineRule="auto"/>
              <w:jc w:val="center"/>
              <w:rPr>
                <w:rFonts w:ascii="宋体" w:hAnsi="宋体"/>
                <w:b/>
                <w:kern w:val="0"/>
                <w:szCs w:val="21"/>
              </w:rPr>
            </w:pPr>
            <w:r>
              <w:rPr>
                <w:rFonts w:hint="eastAsia" w:ascii="宋体" w:hAnsi="宋体"/>
                <w:b/>
                <w:kern w:val="0"/>
                <w:szCs w:val="21"/>
              </w:rPr>
              <w:t>开户名</w:t>
            </w:r>
          </w:p>
        </w:tc>
        <w:tc>
          <w:tcPr>
            <w:tcW w:w="3119" w:type="dxa"/>
            <w:vAlign w:val="center"/>
          </w:tcPr>
          <w:p>
            <w:pPr>
              <w:spacing w:line="276" w:lineRule="auto"/>
              <w:rPr>
                <w:rFonts w:ascii="宋体" w:hAnsi="宋体"/>
                <w:b/>
                <w:kern w:val="0"/>
                <w:szCs w:val="21"/>
              </w:rPr>
            </w:pPr>
          </w:p>
        </w:tc>
        <w:tc>
          <w:tcPr>
            <w:tcW w:w="1701" w:type="dxa"/>
            <w:vAlign w:val="center"/>
          </w:tcPr>
          <w:p>
            <w:pPr>
              <w:spacing w:line="276" w:lineRule="auto"/>
              <w:jc w:val="center"/>
              <w:rPr>
                <w:rFonts w:ascii="宋体" w:hAnsi="宋体"/>
                <w:b/>
                <w:kern w:val="0"/>
                <w:szCs w:val="21"/>
              </w:rPr>
            </w:pPr>
            <w:r>
              <w:rPr>
                <w:rFonts w:hint="eastAsia" w:ascii="宋体" w:hAnsi="宋体"/>
                <w:b/>
                <w:kern w:val="0"/>
                <w:szCs w:val="21"/>
              </w:rPr>
              <w:t>开户行</w:t>
            </w:r>
          </w:p>
        </w:tc>
        <w:tc>
          <w:tcPr>
            <w:tcW w:w="2424" w:type="dxa"/>
            <w:vAlign w:val="center"/>
          </w:tcPr>
          <w:p>
            <w:pPr>
              <w:spacing w:line="276" w:lineRule="auto"/>
              <w:rPr>
                <w:rFonts w:ascii="宋体" w:hAnsi="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292" w:type="dxa"/>
            <w:vAlign w:val="center"/>
          </w:tcPr>
          <w:p>
            <w:pPr>
              <w:tabs>
                <w:tab w:val="left" w:pos="4320"/>
                <w:tab w:val="left" w:pos="7200"/>
              </w:tabs>
              <w:spacing w:line="276" w:lineRule="auto"/>
              <w:jc w:val="center"/>
              <w:rPr>
                <w:rFonts w:ascii="宋体" w:hAnsi="宋体"/>
                <w:b/>
                <w:kern w:val="0"/>
                <w:szCs w:val="21"/>
              </w:rPr>
            </w:pPr>
            <w:r>
              <w:rPr>
                <w:rFonts w:hint="eastAsia" w:ascii="宋体" w:hAnsi="宋体"/>
                <w:b/>
                <w:kern w:val="0"/>
                <w:szCs w:val="21"/>
              </w:rPr>
              <w:t>银行账号</w:t>
            </w:r>
          </w:p>
        </w:tc>
        <w:tc>
          <w:tcPr>
            <w:tcW w:w="7244" w:type="dxa"/>
            <w:gridSpan w:val="3"/>
            <w:vAlign w:val="center"/>
          </w:tcPr>
          <w:p>
            <w:pPr>
              <w:spacing w:line="276" w:lineRule="auto"/>
              <w:rPr>
                <w:rFonts w:ascii="宋体" w:hAnsi="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292" w:type="dxa"/>
            <w:vAlign w:val="center"/>
          </w:tcPr>
          <w:p>
            <w:pPr>
              <w:tabs>
                <w:tab w:val="left" w:pos="4320"/>
                <w:tab w:val="left" w:pos="7200"/>
              </w:tabs>
              <w:spacing w:line="276" w:lineRule="auto"/>
              <w:jc w:val="center"/>
              <w:rPr>
                <w:rFonts w:ascii="宋体" w:hAnsi="宋体"/>
                <w:b/>
                <w:kern w:val="0"/>
                <w:szCs w:val="21"/>
              </w:rPr>
            </w:pPr>
            <w:r>
              <w:rPr>
                <w:rFonts w:hint="eastAsia" w:ascii="宋体" w:hAnsi="宋体"/>
                <w:b/>
                <w:kern w:val="0"/>
                <w:szCs w:val="21"/>
              </w:rPr>
              <w:t>结算周期</w:t>
            </w:r>
          </w:p>
        </w:tc>
        <w:tc>
          <w:tcPr>
            <w:tcW w:w="3119" w:type="dxa"/>
            <w:vAlign w:val="center"/>
          </w:tcPr>
          <w:p>
            <w:pPr>
              <w:spacing w:line="276" w:lineRule="auto"/>
              <w:rPr>
                <w:rFonts w:ascii="宋体" w:hAnsi="宋体"/>
                <w:b/>
                <w:kern w:val="0"/>
                <w:szCs w:val="21"/>
              </w:rPr>
            </w:pPr>
            <w:r>
              <w:rPr>
                <w:rFonts w:hint="eastAsia" w:ascii="宋体" w:hAnsi="宋体"/>
                <w:b/>
                <w:kern w:val="0"/>
                <w:szCs w:val="21"/>
              </w:rPr>
              <w:t>T+1</w:t>
            </w:r>
          </w:p>
        </w:tc>
        <w:tc>
          <w:tcPr>
            <w:tcW w:w="1701" w:type="dxa"/>
            <w:vAlign w:val="center"/>
          </w:tcPr>
          <w:p>
            <w:pPr>
              <w:spacing w:line="276" w:lineRule="auto"/>
              <w:rPr>
                <w:rFonts w:ascii="宋体" w:hAnsi="宋体"/>
                <w:b/>
                <w:kern w:val="0"/>
                <w:szCs w:val="21"/>
              </w:rPr>
            </w:pPr>
            <w:r>
              <w:rPr>
                <w:rFonts w:ascii="宋体" w:hAnsi="宋体"/>
                <w:b/>
                <w:kern w:val="0"/>
                <w:szCs w:val="21"/>
              </w:rPr>
              <w:t>结算起点金额</w:t>
            </w:r>
          </w:p>
        </w:tc>
        <w:tc>
          <w:tcPr>
            <w:tcW w:w="2424" w:type="dxa"/>
            <w:vAlign w:val="center"/>
          </w:tcPr>
          <w:p>
            <w:pPr>
              <w:spacing w:line="276" w:lineRule="auto"/>
              <w:rPr>
                <w:rFonts w:ascii="宋体" w:hAnsi="宋体"/>
                <w:b/>
                <w:kern w:val="0"/>
                <w:szCs w:val="21"/>
              </w:rPr>
            </w:pPr>
            <w:r>
              <w:rPr>
                <w:rFonts w:hint="eastAsia" w:ascii="宋体" w:hAnsi="宋体"/>
                <w:b/>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292" w:type="dxa"/>
            <w:vAlign w:val="center"/>
          </w:tcPr>
          <w:p>
            <w:pPr>
              <w:tabs>
                <w:tab w:val="left" w:pos="4320"/>
                <w:tab w:val="left" w:pos="7200"/>
              </w:tabs>
              <w:spacing w:line="276" w:lineRule="auto"/>
              <w:jc w:val="center"/>
              <w:rPr>
                <w:rFonts w:ascii="宋体" w:hAnsi="宋体"/>
                <w:b/>
                <w:kern w:val="0"/>
                <w:szCs w:val="21"/>
              </w:rPr>
            </w:pPr>
            <w:r>
              <w:rPr>
                <w:rFonts w:hint="eastAsia" w:ascii="宋体" w:hAnsi="宋体"/>
                <w:b/>
                <w:kern w:val="0"/>
                <w:szCs w:val="21"/>
              </w:rPr>
              <w:t>手续费扣收方式</w:t>
            </w:r>
          </w:p>
        </w:tc>
        <w:tc>
          <w:tcPr>
            <w:tcW w:w="3119" w:type="dxa"/>
            <w:vAlign w:val="center"/>
          </w:tcPr>
          <w:p>
            <w:pPr>
              <w:tabs>
                <w:tab w:val="left" w:pos="4320"/>
                <w:tab w:val="left" w:pos="7200"/>
              </w:tabs>
              <w:spacing w:line="276" w:lineRule="auto"/>
              <w:rPr>
                <w:rFonts w:ascii="宋体" w:hAnsi="宋体"/>
                <w:b/>
                <w:kern w:val="0"/>
                <w:szCs w:val="21"/>
              </w:rPr>
            </w:pPr>
            <w:r>
              <w:rPr>
                <w:rFonts w:hint="eastAsia" w:ascii="宋体" w:hAnsi="宋体"/>
                <w:b/>
                <w:kern w:val="0"/>
                <w:szCs w:val="21"/>
              </w:rPr>
              <w:t>实时扣除</w:t>
            </w:r>
          </w:p>
        </w:tc>
        <w:tc>
          <w:tcPr>
            <w:tcW w:w="1701" w:type="dxa"/>
            <w:vAlign w:val="center"/>
          </w:tcPr>
          <w:p>
            <w:pPr>
              <w:tabs>
                <w:tab w:val="left" w:pos="4320"/>
                <w:tab w:val="left" w:pos="7200"/>
              </w:tabs>
              <w:spacing w:line="276" w:lineRule="auto"/>
              <w:rPr>
                <w:rFonts w:ascii="宋体" w:hAnsi="宋体"/>
                <w:b/>
                <w:kern w:val="0"/>
                <w:szCs w:val="21"/>
              </w:rPr>
            </w:pPr>
            <w:r>
              <w:rPr>
                <w:rFonts w:hint="eastAsia" w:ascii="宋体" w:hAnsi="宋体"/>
                <w:b/>
                <w:kern w:val="0"/>
                <w:szCs w:val="21"/>
              </w:rPr>
              <w:t>预警金额、邮箱及手机</w:t>
            </w:r>
          </w:p>
        </w:tc>
        <w:tc>
          <w:tcPr>
            <w:tcW w:w="2424" w:type="dxa"/>
            <w:vAlign w:val="center"/>
          </w:tcPr>
          <w:p>
            <w:pPr>
              <w:tabs>
                <w:tab w:val="left" w:pos="4320"/>
                <w:tab w:val="left" w:pos="7200"/>
              </w:tabs>
              <w:spacing w:line="276" w:lineRule="auto"/>
              <w:rPr>
                <w:rFonts w:ascii="宋体" w:hAnsi="宋体"/>
                <w:b/>
                <w:kern w:val="0"/>
                <w:szCs w:val="21"/>
              </w:rPr>
            </w:pPr>
            <w:r>
              <w:rPr>
                <w:rFonts w:hint="eastAsia" w:ascii="宋体" w:hAnsi="宋体"/>
                <w:b/>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292" w:type="dxa"/>
            <w:vAlign w:val="center"/>
          </w:tcPr>
          <w:p>
            <w:pPr>
              <w:tabs>
                <w:tab w:val="left" w:pos="4320"/>
                <w:tab w:val="left" w:pos="7200"/>
              </w:tabs>
              <w:spacing w:line="276" w:lineRule="auto"/>
              <w:jc w:val="center"/>
              <w:rPr>
                <w:rFonts w:ascii="宋体" w:hAnsi="宋体"/>
                <w:b/>
                <w:kern w:val="0"/>
                <w:szCs w:val="21"/>
              </w:rPr>
            </w:pPr>
            <w:r>
              <w:rPr>
                <w:rFonts w:hint="eastAsia" w:ascii="宋体" w:hAnsi="宋体"/>
                <w:b/>
                <w:kern w:val="0"/>
                <w:szCs w:val="21"/>
              </w:rPr>
              <w:t>是否有续约条款</w:t>
            </w:r>
          </w:p>
        </w:tc>
        <w:tc>
          <w:tcPr>
            <w:tcW w:w="7244" w:type="dxa"/>
            <w:gridSpan w:val="3"/>
            <w:vAlign w:val="center"/>
          </w:tcPr>
          <w:p>
            <w:pPr>
              <w:tabs>
                <w:tab w:val="left" w:pos="4320"/>
                <w:tab w:val="left" w:pos="7200"/>
              </w:tabs>
              <w:spacing w:line="276" w:lineRule="auto"/>
              <w:rPr>
                <w:rFonts w:ascii="宋体" w:hAnsi="宋体"/>
                <w:b/>
                <w:kern w:val="0"/>
                <w:szCs w:val="21"/>
              </w:rPr>
            </w:pPr>
            <w:r>
              <w:rPr>
                <w:rFonts w:hint="eastAsia" w:ascii="宋体" w:hAnsi="宋体"/>
                <w:b/>
                <w:kern w:val="0"/>
                <w:szCs w:val="21"/>
              </w:rPr>
              <w:t>是</w:t>
            </w:r>
          </w:p>
        </w:tc>
      </w:tr>
    </w:tbl>
    <w:p>
      <w:pPr>
        <w:spacing w:beforeLines="100" w:line="276" w:lineRule="auto"/>
        <w:rPr>
          <w:rFonts w:ascii="宋体" w:hAnsi="宋体"/>
          <w:kern w:val="0"/>
          <w:szCs w:val="21"/>
        </w:rPr>
      </w:pPr>
    </w:p>
    <w:tbl>
      <w:tblPr>
        <w:tblStyle w:val="9"/>
        <w:tblW w:w="850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402"/>
        <w:gridCol w:w="1276"/>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134" w:type="dxa"/>
            <w:vAlign w:val="center"/>
          </w:tcPr>
          <w:p>
            <w:pPr>
              <w:tabs>
                <w:tab w:val="left" w:pos="4320"/>
                <w:tab w:val="left" w:pos="7200"/>
              </w:tabs>
              <w:spacing w:line="276" w:lineRule="auto"/>
              <w:jc w:val="center"/>
              <w:rPr>
                <w:rFonts w:ascii="宋体" w:hAnsi="宋体"/>
                <w:b/>
                <w:kern w:val="0"/>
                <w:szCs w:val="21"/>
              </w:rPr>
            </w:pPr>
            <w:r>
              <w:rPr>
                <w:rFonts w:hint="eastAsia" w:ascii="宋体" w:hAnsi="宋体"/>
                <w:b/>
                <w:kern w:val="0"/>
                <w:szCs w:val="21"/>
              </w:rPr>
              <w:t>乙方</w:t>
            </w:r>
          </w:p>
        </w:tc>
        <w:tc>
          <w:tcPr>
            <w:tcW w:w="7371" w:type="dxa"/>
            <w:gridSpan w:val="3"/>
            <w:vAlign w:val="center"/>
          </w:tcPr>
          <w:p>
            <w:pPr>
              <w:spacing w:line="276" w:lineRule="auto"/>
              <w:rPr>
                <w:rFonts w:ascii="宋体" w:hAnsi="宋体"/>
                <w:b/>
                <w:kern w:val="0"/>
                <w:szCs w:val="21"/>
              </w:rPr>
            </w:pPr>
            <w:r>
              <w:rPr>
                <w:rFonts w:hint="eastAsia" w:ascii="宋体" w:hAnsi="宋体"/>
                <w:b/>
                <w:kern w:val="0"/>
                <w:szCs w:val="21"/>
              </w:rPr>
              <w:t>宝付网络科技（上海）有限公司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1134" w:type="dxa"/>
            <w:vAlign w:val="center"/>
          </w:tcPr>
          <w:p>
            <w:pPr>
              <w:tabs>
                <w:tab w:val="left" w:pos="4320"/>
                <w:tab w:val="left" w:pos="7200"/>
              </w:tabs>
              <w:spacing w:line="276" w:lineRule="auto"/>
              <w:jc w:val="center"/>
              <w:rPr>
                <w:rFonts w:ascii="宋体" w:hAnsi="宋体"/>
                <w:b/>
                <w:kern w:val="0"/>
                <w:szCs w:val="21"/>
              </w:rPr>
            </w:pPr>
            <w:r>
              <w:rPr>
                <w:rFonts w:hint="eastAsia" w:ascii="宋体" w:hAnsi="宋体"/>
                <w:b/>
                <w:kern w:val="0"/>
                <w:szCs w:val="21"/>
              </w:rPr>
              <w:t>地址</w:t>
            </w:r>
          </w:p>
        </w:tc>
        <w:tc>
          <w:tcPr>
            <w:tcW w:w="3402" w:type="dxa"/>
            <w:vAlign w:val="center"/>
          </w:tcPr>
          <w:p>
            <w:pPr>
              <w:tabs>
                <w:tab w:val="left" w:pos="4320"/>
                <w:tab w:val="left" w:pos="7200"/>
              </w:tabs>
              <w:spacing w:beforeLines="50"/>
              <w:rPr>
                <w:rFonts w:ascii="宋体" w:hAnsi="宋体"/>
                <w:b/>
                <w:vanish/>
                <w:kern w:val="0"/>
                <w:szCs w:val="21"/>
              </w:rPr>
            </w:pPr>
            <w:r>
              <w:rPr>
                <w:rFonts w:hint="eastAsia" w:ascii="黑体" w:hAnsi="宋体" w:eastAsia="黑体"/>
                <w:b/>
                <w:kern w:val="0"/>
                <w:szCs w:val="21"/>
              </w:rPr>
              <w:t>上海市浦东新区居里路99号</w:t>
            </w:r>
          </w:p>
        </w:tc>
        <w:tc>
          <w:tcPr>
            <w:tcW w:w="1276" w:type="dxa"/>
            <w:vAlign w:val="center"/>
          </w:tcPr>
          <w:p>
            <w:pPr>
              <w:tabs>
                <w:tab w:val="left" w:pos="4320"/>
                <w:tab w:val="left" w:pos="7200"/>
              </w:tabs>
              <w:spacing w:beforeLines="50"/>
              <w:jc w:val="center"/>
              <w:rPr>
                <w:rFonts w:ascii="宋体" w:hAnsi="宋体"/>
                <w:b/>
                <w:kern w:val="0"/>
                <w:szCs w:val="21"/>
              </w:rPr>
            </w:pPr>
            <w:r>
              <w:rPr>
                <w:rFonts w:hint="eastAsia" w:ascii="黑体" w:hAnsi="宋体" w:eastAsia="黑体"/>
                <w:b/>
                <w:kern w:val="0"/>
                <w:szCs w:val="21"/>
              </w:rPr>
              <w:t>电话</w:t>
            </w:r>
          </w:p>
        </w:tc>
        <w:tc>
          <w:tcPr>
            <w:tcW w:w="2693" w:type="dxa"/>
            <w:vAlign w:val="center"/>
          </w:tcPr>
          <w:p>
            <w:pPr>
              <w:tabs>
                <w:tab w:val="left" w:pos="4320"/>
                <w:tab w:val="left" w:pos="7200"/>
              </w:tabs>
              <w:spacing w:beforeLines="50"/>
              <w:rPr>
                <w:rFonts w:ascii="宋体" w:hAnsi="宋体"/>
                <w:b/>
                <w:kern w:val="0"/>
                <w:szCs w:val="21"/>
              </w:rPr>
            </w:pPr>
            <w:r>
              <w:rPr>
                <w:rFonts w:hint="eastAsia" w:ascii="黑体" w:hAnsi="宋体" w:eastAsia="黑体"/>
                <w:b/>
                <w:kern w:val="0"/>
                <w:szCs w:val="21"/>
              </w:rPr>
              <w:t>021-68819999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1134" w:type="dxa"/>
            <w:vAlign w:val="center"/>
          </w:tcPr>
          <w:p>
            <w:pPr>
              <w:tabs>
                <w:tab w:val="left" w:pos="4320"/>
                <w:tab w:val="left" w:pos="7200"/>
              </w:tabs>
              <w:spacing w:line="276" w:lineRule="auto"/>
              <w:jc w:val="center"/>
              <w:rPr>
                <w:rFonts w:ascii="宋体" w:hAnsi="宋体"/>
                <w:b/>
                <w:kern w:val="0"/>
                <w:szCs w:val="21"/>
              </w:rPr>
            </w:pPr>
            <w:r>
              <w:rPr>
                <w:rFonts w:hint="eastAsia" w:ascii="宋体" w:hAnsi="宋体"/>
                <w:b/>
                <w:kern w:val="0"/>
                <w:szCs w:val="21"/>
              </w:rPr>
              <w:t>公司网址</w:t>
            </w:r>
          </w:p>
        </w:tc>
        <w:tc>
          <w:tcPr>
            <w:tcW w:w="3402" w:type="dxa"/>
            <w:vAlign w:val="center"/>
          </w:tcPr>
          <w:p>
            <w:pPr>
              <w:tabs>
                <w:tab w:val="left" w:pos="4320"/>
                <w:tab w:val="left" w:pos="7200"/>
              </w:tabs>
              <w:spacing w:beforeLines="50"/>
              <w:rPr>
                <w:rFonts w:ascii="宋体" w:hAnsi="宋体"/>
                <w:b/>
                <w:kern w:val="0"/>
                <w:szCs w:val="21"/>
              </w:rPr>
            </w:pPr>
            <w:r>
              <w:fldChar w:fldCharType="begin"/>
            </w:r>
            <w:r>
              <w:instrText xml:space="preserve"> HYPERLINK "http://www.baofoo.com/" </w:instrText>
            </w:r>
            <w:r>
              <w:fldChar w:fldCharType="separate"/>
            </w:r>
            <w:r>
              <w:rPr>
                <w:rFonts w:hint="eastAsia" w:ascii="黑体" w:hAnsi="宋体" w:eastAsia="黑体"/>
                <w:b/>
                <w:kern w:val="0"/>
                <w:szCs w:val="21"/>
              </w:rPr>
              <w:t>www.baofoo.com</w:t>
            </w:r>
            <w:r>
              <w:rPr>
                <w:rFonts w:hint="eastAsia" w:ascii="黑体" w:hAnsi="宋体" w:eastAsia="黑体"/>
                <w:b/>
                <w:kern w:val="0"/>
                <w:szCs w:val="21"/>
              </w:rPr>
              <w:fldChar w:fldCharType="end"/>
            </w:r>
          </w:p>
        </w:tc>
        <w:tc>
          <w:tcPr>
            <w:tcW w:w="1276" w:type="dxa"/>
            <w:vAlign w:val="center"/>
          </w:tcPr>
          <w:p>
            <w:pPr>
              <w:tabs>
                <w:tab w:val="left" w:pos="4320"/>
                <w:tab w:val="left" w:pos="7200"/>
              </w:tabs>
              <w:spacing w:beforeLines="50"/>
              <w:jc w:val="center"/>
              <w:rPr>
                <w:rFonts w:ascii="宋体" w:hAnsi="宋体"/>
                <w:b/>
                <w:kern w:val="0"/>
                <w:szCs w:val="21"/>
              </w:rPr>
            </w:pPr>
            <w:r>
              <w:rPr>
                <w:rFonts w:hint="eastAsia" w:ascii="黑体" w:hAnsi="宋体" w:eastAsia="黑体"/>
                <w:b/>
                <w:kern w:val="0"/>
                <w:szCs w:val="21"/>
              </w:rPr>
              <w:t>业务联系人</w:t>
            </w:r>
          </w:p>
        </w:tc>
        <w:tc>
          <w:tcPr>
            <w:tcW w:w="2693" w:type="dxa"/>
            <w:vAlign w:val="center"/>
          </w:tcPr>
          <w:p>
            <w:pPr>
              <w:tabs>
                <w:tab w:val="left" w:pos="4320"/>
                <w:tab w:val="left" w:pos="7200"/>
              </w:tabs>
              <w:spacing w:beforeLines="50"/>
              <w:rPr>
                <w:rFonts w:ascii="宋体" w:hAnsi="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1134" w:type="dxa"/>
            <w:vAlign w:val="center"/>
          </w:tcPr>
          <w:p>
            <w:pPr>
              <w:tabs>
                <w:tab w:val="left" w:pos="4320"/>
                <w:tab w:val="left" w:pos="7200"/>
              </w:tabs>
              <w:spacing w:line="276" w:lineRule="auto"/>
              <w:jc w:val="center"/>
              <w:rPr>
                <w:rFonts w:ascii="宋体" w:hAnsi="宋体"/>
                <w:b/>
                <w:kern w:val="0"/>
                <w:szCs w:val="21"/>
              </w:rPr>
            </w:pPr>
            <w:r>
              <w:rPr>
                <w:rFonts w:hint="eastAsia" w:ascii="宋体" w:hAnsi="宋体"/>
                <w:b/>
                <w:kern w:val="0"/>
                <w:szCs w:val="21"/>
              </w:rPr>
              <w:t>业务联系人</w:t>
            </w:r>
            <w:r>
              <w:rPr>
                <w:rFonts w:ascii="宋体" w:hAnsi="宋体"/>
                <w:b/>
                <w:kern w:val="0"/>
                <w:szCs w:val="21"/>
              </w:rPr>
              <w:t>E-mail</w:t>
            </w:r>
          </w:p>
        </w:tc>
        <w:tc>
          <w:tcPr>
            <w:tcW w:w="3402" w:type="dxa"/>
            <w:vAlign w:val="center"/>
          </w:tcPr>
          <w:p>
            <w:pPr>
              <w:tabs>
                <w:tab w:val="left" w:pos="4320"/>
                <w:tab w:val="left" w:pos="7200"/>
              </w:tabs>
              <w:spacing w:line="276" w:lineRule="auto"/>
              <w:rPr>
                <w:rFonts w:ascii="宋体" w:hAnsi="宋体"/>
                <w:b/>
                <w:kern w:val="0"/>
                <w:szCs w:val="21"/>
              </w:rPr>
            </w:pPr>
          </w:p>
        </w:tc>
        <w:tc>
          <w:tcPr>
            <w:tcW w:w="1276" w:type="dxa"/>
            <w:vAlign w:val="center"/>
          </w:tcPr>
          <w:p>
            <w:pPr>
              <w:tabs>
                <w:tab w:val="left" w:pos="4320"/>
                <w:tab w:val="left" w:pos="7200"/>
              </w:tabs>
              <w:spacing w:line="276" w:lineRule="auto"/>
              <w:jc w:val="center"/>
              <w:rPr>
                <w:rFonts w:ascii="宋体" w:hAnsi="宋体"/>
                <w:b/>
                <w:kern w:val="0"/>
                <w:szCs w:val="21"/>
              </w:rPr>
            </w:pPr>
            <w:r>
              <w:rPr>
                <w:rFonts w:hint="eastAsia" w:ascii="宋体" w:hAnsi="宋体"/>
                <w:b/>
                <w:kern w:val="0"/>
                <w:szCs w:val="21"/>
              </w:rPr>
              <w:t>业务联系人手机</w:t>
            </w:r>
          </w:p>
        </w:tc>
        <w:tc>
          <w:tcPr>
            <w:tcW w:w="2693" w:type="dxa"/>
            <w:vAlign w:val="center"/>
          </w:tcPr>
          <w:p>
            <w:pPr>
              <w:tabs>
                <w:tab w:val="left" w:pos="4320"/>
                <w:tab w:val="left" w:pos="7200"/>
              </w:tabs>
              <w:spacing w:line="276" w:lineRule="auto"/>
              <w:rPr>
                <w:rFonts w:ascii="宋体" w:hAnsi="宋体"/>
                <w:b/>
                <w:kern w:val="0"/>
                <w:szCs w:val="21"/>
              </w:rPr>
            </w:pPr>
          </w:p>
        </w:tc>
      </w:tr>
    </w:tbl>
    <w:p>
      <w:pPr>
        <w:tabs>
          <w:tab w:val="left" w:pos="180"/>
          <w:tab w:val="left" w:pos="425"/>
        </w:tabs>
        <w:spacing w:beforeLines="100" w:line="276" w:lineRule="auto"/>
        <w:rPr>
          <w:rFonts w:ascii="宋体" w:hAnsi="宋体"/>
          <w:b/>
          <w:kern w:val="0"/>
          <w:szCs w:val="21"/>
        </w:rPr>
      </w:pPr>
      <w:r>
        <w:rPr>
          <w:rFonts w:hint="eastAsia" w:ascii="宋体" w:hAnsi="宋体"/>
          <w:b/>
          <w:kern w:val="0"/>
          <w:szCs w:val="21"/>
        </w:rPr>
        <w:t>二、合作内容</w:t>
      </w:r>
    </w:p>
    <w:p>
      <w:pPr>
        <w:tabs>
          <w:tab w:val="left" w:pos="180"/>
        </w:tabs>
        <w:spacing w:beforeLines="100" w:line="276" w:lineRule="auto"/>
        <w:ind w:left="420" w:hanging="420" w:hangingChars="200"/>
        <w:rPr>
          <w:rFonts w:ascii="宋体" w:hAnsi="宋体" w:cs="Arial"/>
          <w:color w:val="000000"/>
          <w:szCs w:val="21"/>
        </w:rPr>
      </w:pPr>
      <w:r>
        <w:rPr>
          <w:rFonts w:hint="eastAsia" w:ascii="宋体" w:hAnsi="宋体"/>
          <w:kern w:val="0"/>
          <w:szCs w:val="21"/>
        </w:rPr>
        <w:t>2.1甲、乙双方经友好协商，在平等互利的基础上，依照《中华人民共和国合同法》等有关法律法规的规定，就乙方为甲方提供网络支付服务达成合作。</w:t>
      </w:r>
      <w:r>
        <w:rPr>
          <w:rFonts w:hint="eastAsia" w:ascii="宋体" w:hAnsi="宋体" w:cs="Arial"/>
          <w:color w:val="000000"/>
          <w:szCs w:val="21"/>
        </w:rPr>
        <w:t>甲方与甲方客户使用乙方网络电子支付服务完成交易。</w:t>
      </w:r>
    </w:p>
    <w:p>
      <w:pPr>
        <w:spacing w:beforeLines="100" w:line="276" w:lineRule="auto"/>
        <w:rPr>
          <w:rFonts w:ascii="宋体" w:hAnsi="宋体"/>
          <w:b/>
          <w:kern w:val="0"/>
          <w:szCs w:val="21"/>
        </w:rPr>
      </w:pPr>
      <w:r>
        <w:rPr>
          <w:rFonts w:hint="eastAsia" w:ascii="宋体" w:hAnsi="宋体"/>
          <w:b/>
          <w:kern w:val="0"/>
          <w:szCs w:val="21"/>
        </w:rPr>
        <w:t>三、甲乙双方权利及义务</w:t>
      </w:r>
    </w:p>
    <w:p>
      <w:pPr>
        <w:numPr>
          <w:ilvl w:val="0"/>
          <w:numId w:val="1"/>
        </w:numPr>
        <w:tabs>
          <w:tab w:val="left" w:pos="0"/>
          <w:tab w:val="left" w:pos="180"/>
        </w:tabs>
        <w:spacing w:beforeLines="100" w:line="276" w:lineRule="auto"/>
        <w:rPr>
          <w:rFonts w:ascii="宋体" w:hAnsi="宋体"/>
          <w:kern w:val="0"/>
          <w:szCs w:val="21"/>
        </w:rPr>
      </w:pPr>
      <w:r>
        <w:rPr>
          <w:rFonts w:hint="eastAsia" w:ascii="宋体" w:hAnsi="宋体"/>
          <w:kern w:val="0"/>
          <w:szCs w:val="21"/>
        </w:rPr>
        <w:t>甲方保证拥有合法资质和行政许可（如需）。甲方保证合法经营，不得利用乙方的电子支付服务实施违反法律法规及其他规范性文件规定的行为。甲方在网站发布的所有信息必须严格遵守国家现行法律法规及相关规定并承担与此相应的责任。</w:t>
      </w:r>
    </w:p>
    <w:p>
      <w:pPr>
        <w:numPr>
          <w:ilvl w:val="0"/>
          <w:numId w:val="1"/>
        </w:numPr>
        <w:tabs>
          <w:tab w:val="left" w:pos="0"/>
          <w:tab w:val="left" w:pos="180"/>
        </w:tabs>
        <w:spacing w:beforeLines="100" w:line="276" w:lineRule="auto"/>
        <w:ind w:hangingChars="200"/>
        <w:rPr>
          <w:rFonts w:ascii="宋体" w:hAnsi="宋体"/>
          <w:kern w:val="0"/>
          <w:szCs w:val="21"/>
        </w:rPr>
      </w:pPr>
      <w:r>
        <w:rPr>
          <w:rFonts w:hint="eastAsia" w:ascii="宋体" w:hAnsi="宋体"/>
          <w:kern w:val="0"/>
          <w:szCs w:val="21"/>
        </w:rPr>
        <w:drawing>
          <wp:anchor distT="0" distB="0" distL="114300" distR="114300" simplePos="0" relativeHeight="251660288" behindDoc="1" locked="0" layoutInCell="1" allowOverlap="1">
            <wp:simplePos x="0" y="0"/>
            <wp:positionH relativeFrom="column">
              <wp:posOffset>-487045</wp:posOffset>
            </wp:positionH>
            <wp:positionV relativeFrom="paragraph">
              <wp:posOffset>288925</wp:posOffset>
            </wp:positionV>
            <wp:extent cx="5267960" cy="7456805"/>
            <wp:effectExtent l="0" t="0" r="0" b="0"/>
            <wp:wrapNone/>
            <wp:docPr id="3" name="图片 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水印"/>
                    <pic:cNvPicPr>
                      <a:picLocks noChangeAspect="1"/>
                    </pic:cNvPicPr>
                  </pic:nvPicPr>
                  <pic:blipFill>
                    <a:blip r:embed="rId7"/>
                    <a:stretch>
                      <a:fillRect/>
                    </a:stretch>
                  </pic:blipFill>
                  <pic:spPr>
                    <a:xfrm>
                      <a:off x="0" y="0"/>
                      <a:ext cx="5267960" cy="7456805"/>
                    </a:xfrm>
                    <a:prstGeom prst="rect">
                      <a:avLst/>
                    </a:prstGeom>
                    <a:noFill/>
                    <a:ln w="9525">
                      <a:noFill/>
                    </a:ln>
                  </pic:spPr>
                </pic:pic>
              </a:graphicData>
            </a:graphic>
          </wp:anchor>
        </w:drawing>
      </w:r>
      <w:r>
        <w:rPr>
          <w:rFonts w:hint="eastAsia" w:ascii="宋体" w:hAnsi="宋体"/>
          <w:kern w:val="0"/>
          <w:szCs w:val="21"/>
        </w:rPr>
        <w:t>甲方在与乙方开展合作时应保证提交材料的准确性、真实性、完整性、合法性。甲方在发生账户变更、名称或信息变更、业务变更、经营地址变更、网址变更或终止、业务联系人变更等任何可能影响乙方支付服务正常进行的信息变更时，应至少提前７天以加盖公司公章的书面形式通知乙方，否则造成的损失由甲方自行承担。对于不足以影响支付业务正常进行的信息，包括但不限于限额调整、手续费账户余额提醒调整，取消短信校验提醒等，甲方同意乙方以甲方联系人邮箱发出的邮件申请为调整或取消的依据。</w:t>
      </w:r>
    </w:p>
    <w:p>
      <w:pPr>
        <w:numPr>
          <w:ilvl w:val="0"/>
          <w:numId w:val="1"/>
        </w:numPr>
        <w:tabs>
          <w:tab w:val="left" w:pos="0"/>
          <w:tab w:val="left" w:pos="180"/>
        </w:tabs>
        <w:spacing w:beforeLines="100" w:line="276" w:lineRule="auto"/>
        <w:ind w:hangingChars="200"/>
        <w:rPr>
          <w:rFonts w:ascii="宋体" w:hAnsi="宋体"/>
          <w:kern w:val="0"/>
          <w:szCs w:val="21"/>
        </w:rPr>
      </w:pPr>
      <w:r>
        <w:rPr>
          <w:rFonts w:hint="eastAsia" w:ascii="宋体" w:hAnsi="宋体"/>
          <w:color w:val="000000"/>
          <w:szCs w:val="21"/>
        </w:rPr>
        <w:t>甲方及其法定代表人、业务联系人授权乙方在双方拟开展的网络支付服务业务范围内，对甲方及法定代表人、业务联系人信息进行查询，并对提交资质材料的真实性进行查验。</w:t>
      </w:r>
    </w:p>
    <w:p>
      <w:pPr>
        <w:numPr>
          <w:ilvl w:val="0"/>
          <w:numId w:val="1"/>
        </w:numPr>
        <w:tabs>
          <w:tab w:val="left" w:pos="0"/>
          <w:tab w:val="left" w:pos="180"/>
        </w:tabs>
        <w:spacing w:beforeLines="100" w:line="276" w:lineRule="auto"/>
        <w:ind w:hangingChars="200"/>
        <w:rPr>
          <w:rFonts w:ascii="宋体" w:hAnsi="宋体"/>
          <w:kern w:val="0"/>
          <w:szCs w:val="21"/>
        </w:rPr>
      </w:pPr>
      <w:r>
        <w:rPr>
          <w:rFonts w:hint="eastAsia" w:ascii="宋体" w:hAnsi="宋体"/>
          <w:kern w:val="0"/>
          <w:szCs w:val="21"/>
        </w:rPr>
        <w:t>甲方应当按照乙方提供的接口文档进行对接，并向乙方提供必要的交易参数信息。</w:t>
      </w:r>
    </w:p>
    <w:p>
      <w:pPr>
        <w:numPr>
          <w:ilvl w:val="0"/>
          <w:numId w:val="1"/>
        </w:numPr>
        <w:tabs>
          <w:tab w:val="left" w:pos="0"/>
          <w:tab w:val="left" w:pos="180"/>
        </w:tabs>
        <w:spacing w:beforeLines="100" w:line="276" w:lineRule="auto"/>
        <w:rPr>
          <w:rFonts w:ascii="宋体" w:hAnsi="宋体" w:cs="Arial"/>
          <w:color w:val="000000"/>
          <w:szCs w:val="21"/>
        </w:rPr>
      </w:pPr>
      <w:r>
        <w:rPr>
          <w:rFonts w:hint="eastAsia" w:ascii="宋体" w:hAnsi="宋体" w:cs="Arial"/>
          <w:color w:val="000000"/>
          <w:szCs w:val="21"/>
        </w:rPr>
        <w:t>甲方仅可以将乙方提供的支付服务用于本协议第一条约定的业务范围内；未经乙方书面同意，  甲方不得随意更改业务范围；甲方不得将乙方接口外放</w:t>
      </w:r>
      <w:r>
        <w:rPr>
          <w:rFonts w:hint="eastAsia" w:ascii="宋体" w:hAnsi="宋体"/>
          <w:kern w:val="0"/>
          <w:szCs w:val="21"/>
        </w:rPr>
        <w:t>。如甲方违反前述约定，否则视为甲方违约，乙方有权立即停止向甲方提供支付服务，延迟结算甲方的交易款项，并据此解除本协议，给乙方造成损失的，甲方还应承担赔偿责任。</w:t>
      </w:r>
    </w:p>
    <w:p>
      <w:pPr>
        <w:numPr>
          <w:ilvl w:val="0"/>
          <w:numId w:val="1"/>
        </w:numPr>
        <w:tabs>
          <w:tab w:val="left" w:pos="0"/>
          <w:tab w:val="left" w:pos="180"/>
        </w:tabs>
        <w:spacing w:beforeLines="100" w:line="276" w:lineRule="auto"/>
        <w:rPr>
          <w:rFonts w:ascii="宋体" w:hAnsi="宋体"/>
          <w:kern w:val="0"/>
          <w:szCs w:val="21"/>
        </w:rPr>
      </w:pPr>
      <w:r>
        <w:rPr>
          <w:rFonts w:hint="eastAsia" w:ascii="宋体" w:hAnsi="宋体"/>
          <w:kern w:val="0"/>
          <w:szCs w:val="21"/>
        </w:rPr>
        <w:t>甲方承诺发起的交易基于真实的交易背景，不得利用乙方提供的服务进行虚假交易。否则，乙方有权立即停止向甲方提供支付服务，延迟结算交易款项，并据此解除本协议，给乙方造成损失的，甲方还应承担赔偿责任。</w:t>
      </w:r>
    </w:p>
    <w:p>
      <w:pPr>
        <w:numPr>
          <w:ilvl w:val="0"/>
          <w:numId w:val="1"/>
        </w:numPr>
        <w:tabs>
          <w:tab w:val="left" w:pos="0"/>
          <w:tab w:val="left" w:pos="180"/>
        </w:tabs>
        <w:spacing w:beforeLines="100" w:line="276" w:lineRule="auto"/>
        <w:ind w:hangingChars="200"/>
        <w:rPr>
          <w:rFonts w:ascii="宋体" w:hAnsi="宋体"/>
          <w:kern w:val="0"/>
          <w:szCs w:val="21"/>
        </w:rPr>
      </w:pPr>
      <w:r>
        <w:rPr>
          <w:rFonts w:hint="eastAsia" w:ascii="宋体" w:hAnsi="宋体"/>
          <w:color w:val="000000"/>
          <w:kern w:val="0"/>
          <w:szCs w:val="21"/>
        </w:rPr>
        <w:t>甲方应当与甲方客户订立委托授权协议，甲方须确保所提交至乙方的支付数据，已经取得甲方客户本人的有效授权。</w:t>
      </w:r>
      <w:r>
        <w:rPr>
          <w:rFonts w:hint="eastAsia" w:ascii="宋体" w:hAnsi="宋体"/>
          <w:kern w:val="0"/>
          <w:szCs w:val="21"/>
        </w:rPr>
        <w:t>甲方未经授权不得代甲方客户或任何第三方提交订单或发出任何指令，</w:t>
      </w:r>
      <w:r>
        <w:rPr>
          <w:rFonts w:hint="eastAsia" w:ascii="宋体" w:hAnsi="宋体"/>
          <w:color w:val="000000"/>
          <w:kern w:val="0"/>
          <w:szCs w:val="21"/>
        </w:rPr>
        <w:t>乙方有权不定期审核甲方客户的授权文件，甲方没有取得客户本人有效授权或有其他违约行为，导致乙方承担任何责任或产生任何损失的，由甲方应向乙方支付相应金额。</w:t>
      </w:r>
      <w:r>
        <w:rPr>
          <w:rFonts w:hint="eastAsia" w:ascii="宋体" w:hAnsi="宋体"/>
          <w:kern w:val="0"/>
          <w:szCs w:val="21"/>
        </w:rPr>
        <w:t>乙方有权暂停服务，并据此解除本协议。</w:t>
      </w:r>
    </w:p>
    <w:p>
      <w:pPr>
        <w:tabs>
          <w:tab w:val="left" w:pos="0"/>
          <w:tab w:val="left" w:pos="180"/>
        </w:tabs>
        <w:spacing w:beforeLines="100" w:line="276" w:lineRule="auto"/>
        <w:ind w:left="420" w:hanging="420" w:hangingChars="200"/>
        <w:jc w:val="left"/>
        <w:rPr>
          <w:rFonts w:ascii="宋体" w:hAnsi="宋体"/>
          <w:color w:val="000000"/>
          <w:kern w:val="0"/>
          <w:szCs w:val="21"/>
        </w:rPr>
      </w:pPr>
      <w:r>
        <w:rPr>
          <w:rFonts w:hint="eastAsia" w:ascii="宋体" w:hAnsi="宋体"/>
          <w:color w:val="000000"/>
          <w:kern w:val="0"/>
          <w:szCs w:val="21"/>
        </w:rPr>
        <w:t>3</w:t>
      </w:r>
      <w:r>
        <w:rPr>
          <w:rFonts w:ascii="宋体" w:hAnsi="宋体"/>
          <w:color w:val="000000"/>
          <w:kern w:val="0"/>
          <w:szCs w:val="21"/>
        </w:rPr>
        <w:t>.</w:t>
      </w:r>
      <w:r>
        <w:rPr>
          <w:rFonts w:hint="eastAsia" w:ascii="宋体" w:hAnsi="宋体"/>
          <w:color w:val="000000"/>
          <w:kern w:val="0"/>
          <w:szCs w:val="21"/>
        </w:rPr>
        <w:t>8 甲方须及时、妥善处理与甲方客户之间的投诉和纠纷，自行承担全部法律责任，如因此给乙方造成负面影响和经济损失的，甲方应当承当赔偿责任。甲方应妥善保管交易产生的资料、数据，自交易完成之日起不少于五年。如发生甲方客户投诉和纠纷、监管机构检查或有关单位要求提供材料的，甲方应协助提供相关交易记录或凭证，并在指定的合理期限内提供。</w:t>
      </w:r>
    </w:p>
    <w:p>
      <w:pPr>
        <w:tabs>
          <w:tab w:val="left" w:pos="0"/>
          <w:tab w:val="left" w:pos="180"/>
        </w:tabs>
        <w:spacing w:beforeLines="100" w:line="276" w:lineRule="auto"/>
        <w:ind w:left="420" w:hanging="420" w:hangingChars="200"/>
        <w:jc w:val="left"/>
        <w:rPr>
          <w:rFonts w:ascii="宋体" w:hAnsi="宋体"/>
          <w:color w:val="000000"/>
          <w:kern w:val="0"/>
          <w:szCs w:val="21"/>
        </w:rPr>
      </w:pPr>
      <w:r>
        <w:rPr>
          <w:rFonts w:hint="eastAsia" w:ascii="宋体" w:hAnsi="宋体"/>
          <w:color w:val="000000"/>
          <w:kern w:val="0"/>
          <w:szCs w:val="21"/>
        </w:rPr>
        <w:t>3</w:t>
      </w:r>
      <w:r>
        <w:rPr>
          <w:rFonts w:ascii="宋体" w:hAnsi="宋体"/>
          <w:color w:val="000000"/>
          <w:kern w:val="0"/>
          <w:szCs w:val="21"/>
        </w:rPr>
        <w:t>.</w:t>
      </w:r>
      <w:r>
        <w:rPr>
          <w:rFonts w:hint="eastAsia" w:ascii="宋体" w:hAnsi="宋体"/>
          <w:color w:val="000000"/>
          <w:kern w:val="0"/>
          <w:szCs w:val="21"/>
        </w:rPr>
        <w:t>9未获得信息主体的授权，甲方不得存储包括甲方客户银行卡的磁道信息或芯片信息、验证码、有效期、密码等敏感信息；甲方存储甲方客户非敏感信息时，应当取得甲方客户的合法授权。</w:t>
      </w:r>
    </w:p>
    <w:p>
      <w:pPr>
        <w:tabs>
          <w:tab w:val="left" w:pos="0"/>
          <w:tab w:val="left" w:pos="180"/>
        </w:tabs>
        <w:spacing w:beforeLines="100" w:line="276" w:lineRule="auto"/>
        <w:ind w:left="420" w:hanging="420" w:hangingChars="200"/>
        <w:jc w:val="left"/>
        <w:rPr>
          <w:rFonts w:ascii="宋体" w:hAnsi="宋体"/>
          <w:kern w:val="0"/>
          <w:szCs w:val="21"/>
        </w:rPr>
      </w:pPr>
      <w:r>
        <w:rPr>
          <w:rFonts w:hint="eastAsia" w:ascii="宋体" w:hAnsi="宋体"/>
          <w:kern w:val="0"/>
          <w:szCs w:val="21"/>
        </w:rPr>
        <w:t>3.10</w:t>
      </w:r>
      <w:r>
        <w:rPr>
          <w:rFonts w:hint="eastAsia" w:ascii="宋体" w:hAnsi="宋体"/>
          <w:color w:val="000000"/>
          <w:kern w:val="0"/>
          <w:szCs w:val="21"/>
        </w:rPr>
        <w:t>甲方使用乙方的网络支付服务时，应确保发出支付指令的合法性、真实性、有效性和完整性，并保证对甲方客户的身份信息、银行卡信息、订单数据、付款信息采用数字证书加密的方式合并发送至乙方。因甲方信息、数据传输无效、不合法、不准确、不完整而导致付款失败的，由甲方独自承担由此引发的一切损失和法律后果，与乙方无涉。</w:t>
      </w:r>
    </w:p>
    <w:p>
      <w:pPr>
        <w:tabs>
          <w:tab w:val="left" w:pos="0"/>
          <w:tab w:val="left" w:pos="180"/>
        </w:tabs>
        <w:spacing w:beforeLines="100" w:line="276" w:lineRule="auto"/>
        <w:ind w:left="420" w:hanging="420" w:hangingChars="200"/>
        <w:jc w:val="left"/>
        <w:rPr>
          <w:rFonts w:ascii="宋体" w:hAnsi="宋体"/>
          <w:color w:val="000000"/>
          <w:kern w:val="0"/>
          <w:szCs w:val="21"/>
        </w:rPr>
      </w:pPr>
      <w:r>
        <w:rPr>
          <w:rFonts w:hint="eastAsia" w:ascii="宋体" w:hAnsi="宋体"/>
          <w:color w:val="000000"/>
          <w:kern w:val="0"/>
          <w:szCs w:val="21"/>
        </w:rPr>
        <w:drawing>
          <wp:anchor distT="0" distB="0" distL="114300" distR="114300" simplePos="0" relativeHeight="251661312" behindDoc="1" locked="0" layoutInCell="1" allowOverlap="1">
            <wp:simplePos x="0" y="0"/>
            <wp:positionH relativeFrom="column">
              <wp:posOffset>-39370</wp:posOffset>
            </wp:positionH>
            <wp:positionV relativeFrom="paragraph">
              <wp:posOffset>679450</wp:posOffset>
            </wp:positionV>
            <wp:extent cx="5267960" cy="7456805"/>
            <wp:effectExtent l="0" t="0" r="0" b="0"/>
            <wp:wrapNone/>
            <wp:docPr id="4" name="图片 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水印"/>
                    <pic:cNvPicPr>
                      <a:picLocks noChangeAspect="1"/>
                    </pic:cNvPicPr>
                  </pic:nvPicPr>
                  <pic:blipFill>
                    <a:blip r:embed="rId7"/>
                    <a:stretch>
                      <a:fillRect/>
                    </a:stretch>
                  </pic:blipFill>
                  <pic:spPr>
                    <a:xfrm>
                      <a:off x="0" y="0"/>
                      <a:ext cx="5267960" cy="7456805"/>
                    </a:xfrm>
                    <a:prstGeom prst="rect">
                      <a:avLst/>
                    </a:prstGeom>
                    <a:noFill/>
                    <a:ln w="9525">
                      <a:noFill/>
                    </a:ln>
                  </pic:spPr>
                </pic:pic>
              </a:graphicData>
            </a:graphic>
          </wp:anchor>
        </w:drawing>
      </w:r>
      <w:r>
        <w:rPr>
          <w:rFonts w:hint="eastAsia" w:ascii="宋体" w:hAnsi="宋体"/>
          <w:color w:val="000000"/>
          <w:kern w:val="0"/>
          <w:szCs w:val="21"/>
        </w:rPr>
        <w:t>3.11</w:t>
      </w:r>
      <w:r>
        <w:rPr>
          <w:rFonts w:hint="eastAsia" w:ascii="宋体" w:hAnsi="宋体"/>
          <w:kern w:val="0"/>
          <w:szCs w:val="21"/>
        </w:rPr>
        <w:t>甲方应妥善保管甲方在乙方支付平台注册的商户名称、商户密码以及甲方在乙方支付平台绑定的手机号码，如甲方发现有他人冒用、盗用或未经甲方授权使用其宝付账户或操作资金，应及时通知乙方，乙方应采取必要措施予以配合。因此造成的后果均由甲方自行承担，若造成乙方损失的，甲方还应承担赔偿责任。</w:t>
      </w:r>
    </w:p>
    <w:p>
      <w:pPr>
        <w:tabs>
          <w:tab w:val="left" w:pos="0"/>
          <w:tab w:val="left" w:pos="180"/>
        </w:tabs>
        <w:spacing w:beforeLines="100" w:line="276" w:lineRule="auto"/>
        <w:ind w:left="420" w:hanging="420" w:hangingChars="200"/>
        <w:jc w:val="left"/>
        <w:rPr>
          <w:rFonts w:ascii="宋体" w:hAnsi="宋体"/>
          <w:color w:val="000000"/>
          <w:kern w:val="0"/>
          <w:szCs w:val="21"/>
        </w:rPr>
      </w:pPr>
      <w:r>
        <w:rPr>
          <w:rFonts w:hint="eastAsia" w:ascii="宋体" w:hAnsi="宋体"/>
          <w:color w:val="000000"/>
          <w:kern w:val="0"/>
          <w:szCs w:val="21"/>
        </w:rPr>
        <w:t>3.12甲方应对甲方自有平台进行安全维护，若出现他人盗用甲方平台账号或甲方平台服务器遭受攻击等情况而</w:t>
      </w:r>
      <w:r>
        <w:rPr>
          <w:rFonts w:hint="eastAsia" w:ascii="宋体" w:hAnsi="宋体"/>
          <w:kern w:val="0"/>
          <w:szCs w:val="21"/>
        </w:rPr>
        <w:t>导致</w:t>
      </w:r>
      <w:r>
        <w:rPr>
          <w:rFonts w:hint="eastAsia" w:ascii="宋体" w:hAnsi="宋体"/>
          <w:color w:val="000000"/>
          <w:kern w:val="0"/>
          <w:szCs w:val="21"/>
        </w:rPr>
        <w:t>甲方客户信息泄露的，或因甲方系统操作者不当操作平台或甲方平台被攻击、盗用、冒用所造成的损失和风险，由甲方自行承担因此产生的一切后果，乙方不承担任何责任。</w:t>
      </w:r>
    </w:p>
    <w:p>
      <w:pPr>
        <w:tabs>
          <w:tab w:val="left" w:pos="0"/>
          <w:tab w:val="left" w:pos="180"/>
        </w:tabs>
        <w:spacing w:beforeLines="100" w:line="276" w:lineRule="auto"/>
        <w:ind w:left="420" w:hanging="420" w:hangingChars="200"/>
        <w:jc w:val="left"/>
        <w:rPr>
          <w:rFonts w:ascii="宋体" w:hAnsi="宋体"/>
          <w:color w:val="000000"/>
          <w:kern w:val="0"/>
          <w:szCs w:val="21"/>
        </w:rPr>
      </w:pPr>
      <w:r>
        <w:rPr>
          <w:rFonts w:hint="eastAsia" w:ascii="宋体" w:hAnsi="宋体"/>
          <w:kern w:val="0"/>
          <w:szCs w:val="21"/>
        </w:rPr>
        <w:t>3</w:t>
      </w:r>
      <w:r>
        <w:rPr>
          <w:rFonts w:ascii="宋体" w:hAnsi="宋体"/>
          <w:kern w:val="0"/>
          <w:szCs w:val="21"/>
        </w:rPr>
        <w:t>.1</w:t>
      </w:r>
      <w:r>
        <w:rPr>
          <w:rFonts w:hint="eastAsia" w:ascii="宋体" w:hAnsi="宋体"/>
          <w:kern w:val="0"/>
          <w:szCs w:val="21"/>
        </w:rPr>
        <w:t>3甲方同意乙方有权依据相关法律法规，按照监管部门/乙方合作渠道方（包括但不限于银联、银行等）的要求，将其相关交易信息提供用以进行核查。若相关银行要求必须提供甲方客户相关信息（包括但不限于身份证号码、真实姓名等）报备的，甲方应配合乙方及时提供真实、准确、有效的甲方客户信息；若因甲方客户信息错误、不真实、提供不及时或未提供等而导致扣款失败的，甲方自行承担由此带来的所有风险和责任。</w:t>
      </w:r>
    </w:p>
    <w:p>
      <w:pPr>
        <w:tabs>
          <w:tab w:val="left" w:pos="0"/>
          <w:tab w:val="left" w:pos="180"/>
        </w:tabs>
        <w:spacing w:beforeLines="100" w:line="276" w:lineRule="auto"/>
        <w:ind w:left="420" w:hanging="420" w:hangingChars="200"/>
        <w:jc w:val="left"/>
        <w:rPr>
          <w:rFonts w:ascii="宋体" w:hAnsi="宋体"/>
          <w:kern w:val="0"/>
          <w:szCs w:val="21"/>
        </w:rPr>
      </w:pPr>
      <w:r>
        <w:rPr>
          <w:rFonts w:hint="eastAsia" w:ascii="宋体" w:hAnsi="宋体"/>
          <w:kern w:val="0"/>
          <w:szCs w:val="21"/>
        </w:rPr>
        <w:t>3.14乙方应依据本协议约定提供各项网络支付服务，并有权按照本协议约定收取各项服务费。如果出现法律规定、政府强制性规定以及网联银联等通道费率政策的变化而影响交易费率的，乙方有权调整交易费率，但必须在调整前7天以书面或电子邮件形式通知甲方并获得甲方同意，如甲方不同意调整后的交易费率的，双方均有权解除本协议且不承担违约责任。</w:t>
      </w:r>
    </w:p>
    <w:p>
      <w:pPr>
        <w:tabs>
          <w:tab w:val="left" w:pos="0"/>
          <w:tab w:val="left" w:pos="180"/>
        </w:tabs>
        <w:spacing w:beforeLines="100" w:line="276" w:lineRule="auto"/>
        <w:ind w:left="420" w:hanging="420" w:hangingChars="200"/>
        <w:jc w:val="left"/>
        <w:rPr>
          <w:rFonts w:ascii="宋体" w:hAnsi="宋体"/>
          <w:kern w:val="0"/>
          <w:szCs w:val="21"/>
        </w:rPr>
      </w:pPr>
      <w:r>
        <w:rPr>
          <w:rFonts w:hint="eastAsia" w:ascii="宋体" w:hAnsi="宋体"/>
          <w:kern w:val="0"/>
          <w:szCs w:val="21"/>
        </w:rPr>
        <w:t>3</w:t>
      </w:r>
      <w:r>
        <w:rPr>
          <w:rFonts w:ascii="宋体" w:hAnsi="宋体"/>
          <w:kern w:val="0"/>
          <w:szCs w:val="21"/>
        </w:rPr>
        <w:t>.1</w:t>
      </w:r>
      <w:r>
        <w:rPr>
          <w:rFonts w:hint="eastAsia" w:ascii="宋体" w:hAnsi="宋体"/>
          <w:kern w:val="0"/>
          <w:szCs w:val="21"/>
        </w:rPr>
        <w:t>5为了履行反洗钱义务，乙方依据谨慎判断，保留对可疑交易、非法交易、高风险交易或交易纠纷的独立判定，并按以下情况进行处理：</w:t>
      </w:r>
    </w:p>
    <w:p>
      <w:pPr>
        <w:tabs>
          <w:tab w:val="left" w:pos="0"/>
          <w:tab w:val="left" w:pos="180"/>
        </w:tabs>
        <w:spacing w:beforeLines="100" w:line="276" w:lineRule="auto"/>
        <w:ind w:left="525" w:leftChars="200" w:hanging="105" w:hangingChars="50"/>
        <w:rPr>
          <w:rFonts w:ascii="宋体" w:hAnsi="宋体"/>
          <w:kern w:val="0"/>
          <w:szCs w:val="21"/>
        </w:rPr>
      </w:pPr>
      <w:r>
        <w:rPr>
          <w:rFonts w:hint="eastAsia" w:ascii="宋体" w:hAnsi="宋体"/>
          <w:kern w:val="0"/>
          <w:szCs w:val="21"/>
        </w:rPr>
        <w:t>（1）如果乙方发现甲方涉及可疑交易、非法交易、高风险交易或交易纠纷的，乙方有权向有关单位报告，并要求甲方及时提供所有的交易材料证明供相关机构调阅或查询；</w:t>
      </w:r>
    </w:p>
    <w:p>
      <w:pPr>
        <w:tabs>
          <w:tab w:val="left" w:pos="0"/>
          <w:tab w:val="left" w:pos="180"/>
        </w:tabs>
        <w:spacing w:beforeLines="100" w:line="276" w:lineRule="auto"/>
        <w:ind w:left="525" w:leftChars="200" w:hanging="105" w:hangingChars="50"/>
        <w:rPr>
          <w:rFonts w:ascii="宋体" w:hAnsi="宋体"/>
          <w:kern w:val="0"/>
          <w:szCs w:val="21"/>
        </w:rPr>
      </w:pPr>
      <w:r>
        <w:rPr>
          <w:rFonts w:hint="eastAsia" w:ascii="宋体" w:hAnsi="宋体"/>
          <w:kern w:val="0"/>
          <w:szCs w:val="21"/>
        </w:rPr>
        <w:t>（2）乙方可视情况采取调整交易限额、延迟结算甲方交易款项、暂停部分服务等措施；</w:t>
      </w:r>
    </w:p>
    <w:p>
      <w:pPr>
        <w:tabs>
          <w:tab w:val="left" w:pos="0"/>
          <w:tab w:val="left" w:pos="180"/>
        </w:tabs>
        <w:spacing w:beforeLines="100" w:line="276" w:lineRule="auto"/>
        <w:ind w:left="525" w:leftChars="200" w:hanging="105" w:hangingChars="50"/>
        <w:rPr>
          <w:rFonts w:ascii="宋体" w:hAnsi="宋体"/>
          <w:kern w:val="0"/>
          <w:szCs w:val="21"/>
        </w:rPr>
      </w:pPr>
      <w:r>
        <w:rPr>
          <w:rFonts w:hint="eastAsia" w:ascii="宋体" w:hAnsi="宋体"/>
          <w:kern w:val="0"/>
          <w:szCs w:val="21"/>
        </w:rPr>
        <w:t>（3）如遇有关单位的合法指示（包括查询、冻结、扣划、解冻等），乙方将依有关单位</w:t>
      </w:r>
      <w:r>
        <w:rPr>
          <w:rFonts w:ascii="宋体" w:hAnsi="宋体"/>
          <w:kern w:val="0"/>
          <w:szCs w:val="21"/>
        </w:rPr>
        <w:t>的</w:t>
      </w:r>
      <w:r>
        <w:rPr>
          <w:rFonts w:hint="eastAsia" w:ascii="宋体" w:hAnsi="宋体"/>
          <w:kern w:val="0"/>
          <w:szCs w:val="21"/>
        </w:rPr>
        <w:t>指示行事。此种情况下，乙方无需对前述措施承担违约责任。</w:t>
      </w:r>
    </w:p>
    <w:p>
      <w:pPr>
        <w:tabs>
          <w:tab w:val="left" w:pos="0"/>
          <w:tab w:val="left" w:pos="180"/>
        </w:tabs>
        <w:spacing w:beforeLines="100" w:line="276" w:lineRule="auto"/>
        <w:ind w:left="420" w:hanging="420" w:hangingChars="200"/>
        <w:jc w:val="left"/>
        <w:rPr>
          <w:rFonts w:ascii="宋体" w:hAnsi="宋体"/>
          <w:kern w:val="0"/>
          <w:szCs w:val="21"/>
        </w:rPr>
      </w:pPr>
      <w:r>
        <w:rPr>
          <w:rFonts w:hint="eastAsia" w:ascii="宋体" w:hAnsi="宋体"/>
          <w:kern w:val="0"/>
          <w:szCs w:val="21"/>
        </w:rPr>
        <w:t>3.16乙方不参与甲方与甲方客户之间的具体交易过程，仅为双方间的款项清结算提供服务。乙方对甲方与甲方客户之间的下列纠纷不承担责任，对于下列纠纷，甲方应及时处理：</w:t>
      </w:r>
    </w:p>
    <w:p>
      <w:pPr>
        <w:tabs>
          <w:tab w:val="left" w:pos="0"/>
          <w:tab w:val="left" w:pos="180"/>
        </w:tabs>
        <w:spacing w:beforeLines="100" w:line="276" w:lineRule="auto"/>
        <w:ind w:left="420" w:leftChars="200"/>
        <w:rPr>
          <w:rFonts w:ascii="宋体" w:hAnsi="宋体"/>
          <w:kern w:val="0"/>
          <w:szCs w:val="21"/>
        </w:rPr>
      </w:pPr>
      <w:r>
        <w:rPr>
          <w:rFonts w:hint="eastAsia" w:ascii="宋体" w:hAnsi="宋体"/>
          <w:kern w:val="0"/>
          <w:szCs w:val="21"/>
        </w:rPr>
        <w:t>（1）关于支付金额不准确产生的纠纷；</w:t>
      </w:r>
    </w:p>
    <w:p>
      <w:pPr>
        <w:tabs>
          <w:tab w:val="left" w:pos="0"/>
          <w:tab w:val="left" w:pos="180"/>
        </w:tabs>
        <w:spacing w:beforeLines="100" w:line="276" w:lineRule="auto"/>
        <w:ind w:left="420" w:leftChars="200"/>
        <w:rPr>
          <w:rFonts w:ascii="宋体" w:hAnsi="宋体"/>
          <w:kern w:val="0"/>
          <w:szCs w:val="21"/>
        </w:rPr>
      </w:pPr>
      <w:r>
        <w:rPr>
          <w:rFonts w:hint="eastAsia" w:ascii="宋体" w:hAnsi="宋体"/>
          <w:kern w:val="0"/>
          <w:szCs w:val="21"/>
        </w:rPr>
        <w:t>（2）关于付款后未得到商品或服务以及商品或服务存在瑕疵等纠纷；</w:t>
      </w:r>
    </w:p>
    <w:p>
      <w:pPr>
        <w:tabs>
          <w:tab w:val="left" w:pos="0"/>
          <w:tab w:val="left" w:pos="180"/>
        </w:tabs>
        <w:spacing w:beforeLines="100" w:line="276" w:lineRule="auto"/>
        <w:ind w:left="420" w:leftChars="200"/>
        <w:rPr>
          <w:rFonts w:ascii="宋体" w:hAnsi="宋体"/>
          <w:kern w:val="0"/>
          <w:szCs w:val="21"/>
        </w:rPr>
      </w:pPr>
      <w:r>
        <w:rPr>
          <w:rFonts w:hint="eastAsia" w:ascii="宋体" w:hAnsi="宋体"/>
          <w:kern w:val="0"/>
          <w:szCs w:val="21"/>
        </w:rPr>
        <w:t>（3）其他关于具体交易产生疑义而引起的投诉或其他法律纠纷。</w:t>
      </w:r>
    </w:p>
    <w:p>
      <w:pPr>
        <w:tabs>
          <w:tab w:val="left" w:pos="0"/>
          <w:tab w:val="left" w:pos="180"/>
        </w:tabs>
        <w:spacing w:beforeLines="100" w:line="276" w:lineRule="auto"/>
        <w:ind w:left="420" w:hanging="420" w:hangingChars="200"/>
        <w:jc w:val="left"/>
        <w:rPr>
          <w:rFonts w:ascii="宋体" w:hAnsi="宋体"/>
          <w:kern w:val="0"/>
          <w:szCs w:val="21"/>
        </w:rPr>
      </w:pPr>
      <w:r>
        <w:rPr>
          <w:rFonts w:hint="eastAsia" w:ascii="宋体" w:hAnsi="宋体"/>
          <w:kern w:val="0"/>
          <w:szCs w:val="21"/>
        </w:rPr>
        <w:t>3.1</w:t>
      </w:r>
      <w:r>
        <w:rPr>
          <w:rFonts w:hint="eastAsia" w:ascii="宋体" w:hAnsi="宋体"/>
          <w:kern w:val="0"/>
          <w:szCs w:val="21"/>
        </w:rPr>
        <w:drawing>
          <wp:anchor distT="0" distB="0" distL="114300" distR="114300" simplePos="0" relativeHeight="251665408" behindDoc="1" locked="0" layoutInCell="1" allowOverlap="1">
            <wp:simplePos x="0" y="0"/>
            <wp:positionH relativeFrom="column">
              <wp:posOffset>-39370</wp:posOffset>
            </wp:positionH>
            <wp:positionV relativeFrom="paragraph">
              <wp:posOffset>679450</wp:posOffset>
            </wp:positionV>
            <wp:extent cx="5267960" cy="7456805"/>
            <wp:effectExtent l="0" t="0" r="0" b="0"/>
            <wp:wrapNone/>
            <wp:docPr id="5" name="图片 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水印"/>
                    <pic:cNvPicPr>
                      <a:picLocks noChangeAspect="1"/>
                    </pic:cNvPicPr>
                  </pic:nvPicPr>
                  <pic:blipFill>
                    <a:blip r:embed="rId7"/>
                    <a:stretch>
                      <a:fillRect/>
                    </a:stretch>
                  </pic:blipFill>
                  <pic:spPr>
                    <a:xfrm>
                      <a:off x="0" y="0"/>
                      <a:ext cx="5267960" cy="7456805"/>
                    </a:xfrm>
                    <a:prstGeom prst="rect">
                      <a:avLst/>
                    </a:prstGeom>
                    <a:noFill/>
                    <a:ln w="9525">
                      <a:noFill/>
                    </a:ln>
                  </pic:spPr>
                </pic:pic>
              </a:graphicData>
            </a:graphic>
          </wp:anchor>
        </w:drawing>
      </w:r>
      <w:r>
        <w:rPr>
          <w:rFonts w:hint="eastAsia" w:ascii="宋体" w:hAnsi="宋体"/>
          <w:kern w:val="0"/>
          <w:szCs w:val="21"/>
        </w:rPr>
        <w:t>7因以下原因乙方没有完成甲方客户发出付款指令的，乙方不承担任何责任：</w:t>
      </w:r>
    </w:p>
    <w:p>
      <w:pPr>
        <w:tabs>
          <w:tab w:val="left" w:pos="0"/>
          <w:tab w:val="left" w:pos="180"/>
        </w:tabs>
        <w:spacing w:beforeLines="100" w:line="276" w:lineRule="auto"/>
        <w:ind w:left="420" w:leftChars="200"/>
        <w:rPr>
          <w:rFonts w:ascii="宋体" w:hAnsi="宋体"/>
          <w:kern w:val="0"/>
          <w:szCs w:val="21"/>
        </w:rPr>
      </w:pPr>
      <w:r>
        <w:rPr>
          <w:rFonts w:hint="eastAsia" w:ascii="宋体" w:hAnsi="宋体"/>
          <w:kern w:val="0"/>
          <w:szCs w:val="21"/>
        </w:rPr>
        <w:t xml:space="preserve">（1） </w:t>
      </w:r>
      <w:r>
        <w:rPr>
          <w:rFonts w:hint="eastAsia" w:ascii="宋体" w:hAnsi="宋体"/>
          <w:color w:val="000000"/>
          <w:kern w:val="0"/>
          <w:szCs w:val="21"/>
        </w:rPr>
        <w:t>甲方客户输入的或甲方传输至乙方的身份信息或银行卡信息不明、乱码、不完整等情形；</w:t>
      </w:r>
    </w:p>
    <w:p>
      <w:pPr>
        <w:widowControl/>
        <w:spacing w:beforeLines="100" w:line="276" w:lineRule="auto"/>
        <w:ind w:firstLine="420" w:firstLineChars="200"/>
        <w:rPr>
          <w:rFonts w:ascii="宋体" w:hAnsi="宋体"/>
          <w:color w:val="000000"/>
          <w:kern w:val="0"/>
          <w:szCs w:val="21"/>
        </w:rPr>
      </w:pPr>
      <w:r>
        <w:rPr>
          <w:rFonts w:hint="eastAsia" w:ascii="宋体" w:hAnsi="宋体"/>
          <w:color w:val="000000"/>
          <w:kern w:val="0"/>
          <w:szCs w:val="21"/>
        </w:rPr>
        <w:t>（2）甲方客户的银行账户等存款余额不足或信用额度不足；</w:t>
      </w:r>
    </w:p>
    <w:p>
      <w:pPr>
        <w:widowControl/>
        <w:spacing w:beforeLines="100" w:line="276" w:lineRule="auto"/>
        <w:ind w:firstLine="420" w:firstLineChars="200"/>
        <w:rPr>
          <w:rFonts w:ascii="宋体" w:hAnsi="宋体"/>
          <w:color w:val="000000"/>
          <w:kern w:val="0"/>
          <w:szCs w:val="21"/>
        </w:rPr>
      </w:pPr>
      <w:r>
        <w:rPr>
          <w:rFonts w:hint="eastAsia" w:ascii="宋体" w:hAnsi="宋体"/>
          <w:color w:val="000000"/>
          <w:kern w:val="0"/>
          <w:szCs w:val="21"/>
        </w:rPr>
        <w:t>（3）甲方客户的银行账户等内的资金被依法冻结，致使无法完成扣划；</w:t>
      </w:r>
    </w:p>
    <w:p>
      <w:pPr>
        <w:widowControl/>
        <w:spacing w:beforeLines="100" w:line="276" w:lineRule="auto"/>
        <w:ind w:firstLine="420" w:firstLineChars="200"/>
        <w:rPr>
          <w:rFonts w:ascii="宋体" w:hAnsi="宋体"/>
          <w:color w:val="000000"/>
          <w:kern w:val="0"/>
          <w:szCs w:val="21"/>
        </w:rPr>
      </w:pPr>
      <w:r>
        <w:rPr>
          <w:rFonts w:hint="eastAsia" w:ascii="宋体" w:hAnsi="宋体"/>
          <w:color w:val="000000"/>
          <w:kern w:val="0"/>
          <w:szCs w:val="21"/>
        </w:rPr>
        <w:t>（4）甲方发出的扣款电子指令与银行账户等扣款条件不符的；</w:t>
      </w:r>
    </w:p>
    <w:p>
      <w:pPr>
        <w:widowControl/>
        <w:spacing w:beforeLines="100" w:line="276" w:lineRule="auto"/>
        <w:ind w:firstLine="420" w:firstLineChars="200"/>
        <w:rPr>
          <w:rFonts w:ascii="宋体" w:hAnsi="宋体"/>
          <w:color w:val="000000"/>
          <w:kern w:val="0"/>
          <w:szCs w:val="21"/>
        </w:rPr>
      </w:pPr>
      <w:r>
        <w:rPr>
          <w:rFonts w:hint="eastAsia" w:ascii="宋体" w:hAnsi="宋体"/>
          <w:color w:val="000000"/>
          <w:kern w:val="0"/>
          <w:szCs w:val="21"/>
        </w:rPr>
        <w:t>（5）其他不可抗力或其他非乙方原因的情况致使乙方不能正确执行甲方客户付款指令的。</w:t>
      </w:r>
    </w:p>
    <w:p>
      <w:pPr>
        <w:tabs>
          <w:tab w:val="left" w:pos="0"/>
          <w:tab w:val="left" w:pos="180"/>
        </w:tabs>
        <w:spacing w:beforeLines="100" w:line="276" w:lineRule="auto"/>
        <w:ind w:left="420" w:hanging="420" w:hangingChars="200"/>
        <w:jc w:val="left"/>
        <w:rPr>
          <w:rFonts w:ascii="宋体" w:hAnsi="宋体"/>
          <w:color w:val="000000"/>
          <w:szCs w:val="21"/>
        </w:rPr>
      </w:pPr>
      <w:r>
        <w:rPr>
          <w:rFonts w:hint="eastAsia" w:ascii="宋体" w:hAnsi="宋体"/>
          <w:kern w:val="0"/>
          <w:szCs w:val="21"/>
        </w:rPr>
        <w:t>3.18乙方仅对安全、准确、及时地执行甲方客户的交易指令承担义务；对于甲方与甲方客户之间因扣款金额、扣款时间、扣款周期、扣款业务用途等产生的纠纷不承担任何责任。</w:t>
      </w:r>
      <w:r>
        <w:rPr>
          <w:rFonts w:hint="eastAsia" w:ascii="宋体" w:hAnsi="宋体"/>
          <w:color w:val="000000"/>
          <w:szCs w:val="21"/>
        </w:rPr>
        <w:t>若发生甲方客户对扣款产生疑义而引起的投诉或其他法律纠纷，甲方应及时处理，同时，乙方有权要求甲方提供甲方与甲方客户的订单明细，甲方应配合乙方及时提供正确、真实、合法的相关文件。</w:t>
      </w:r>
    </w:p>
    <w:p>
      <w:pPr>
        <w:tabs>
          <w:tab w:val="left" w:pos="0"/>
          <w:tab w:val="left" w:pos="180"/>
        </w:tabs>
        <w:spacing w:beforeLines="100" w:line="276" w:lineRule="auto"/>
        <w:ind w:left="420" w:hanging="420" w:hangingChars="200"/>
        <w:jc w:val="left"/>
        <w:rPr>
          <w:rFonts w:ascii="宋体" w:hAnsi="宋体"/>
          <w:kern w:val="0"/>
          <w:szCs w:val="21"/>
        </w:rPr>
      </w:pPr>
      <w:r>
        <w:rPr>
          <w:rFonts w:hint="eastAsia" w:ascii="宋体" w:hAnsi="宋体"/>
          <w:kern w:val="0"/>
          <w:szCs w:val="21"/>
        </w:rPr>
        <w:t>3.19乙方有义务为甲方提供五年内的交易数据的存档和查询服务。</w:t>
      </w:r>
    </w:p>
    <w:p>
      <w:pPr>
        <w:tabs>
          <w:tab w:val="left" w:pos="0"/>
          <w:tab w:val="left" w:pos="180"/>
        </w:tabs>
        <w:spacing w:beforeLines="100" w:line="276" w:lineRule="auto"/>
        <w:ind w:left="420" w:hanging="420" w:hangingChars="200"/>
        <w:jc w:val="left"/>
        <w:rPr>
          <w:rFonts w:ascii="宋体" w:hAnsi="宋体"/>
          <w:kern w:val="0"/>
          <w:szCs w:val="21"/>
        </w:rPr>
      </w:pPr>
      <w:r>
        <w:rPr>
          <w:rFonts w:hint="eastAsia" w:ascii="宋体" w:hAnsi="宋体"/>
          <w:kern w:val="0"/>
          <w:szCs w:val="21"/>
        </w:rPr>
        <w:t>3</w:t>
      </w:r>
      <w:r>
        <w:rPr>
          <w:rFonts w:ascii="宋体" w:hAnsi="宋体"/>
          <w:kern w:val="0"/>
          <w:szCs w:val="21"/>
        </w:rPr>
        <w:t>.2</w:t>
      </w:r>
      <w:r>
        <w:rPr>
          <w:rFonts w:hint="eastAsia" w:ascii="宋体" w:hAnsi="宋体"/>
          <w:kern w:val="0"/>
          <w:szCs w:val="21"/>
        </w:rPr>
        <w:t>0如甲方在乙方系统中开立的宝付账户在本协议签订后的180天内未产生交易量，乙方有权暂停本协议项下的全部服务且不承担任何责任。</w:t>
      </w:r>
    </w:p>
    <w:p>
      <w:pPr>
        <w:spacing w:beforeLines="100" w:line="276" w:lineRule="auto"/>
        <w:rPr>
          <w:rFonts w:ascii="宋体" w:hAnsi="宋体"/>
          <w:b/>
          <w:kern w:val="0"/>
          <w:szCs w:val="21"/>
        </w:rPr>
      </w:pPr>
      <w:r>
        <w:rPr>
          <w:rFonts w:hint="eastAsia" w:ascii="宋体" w:hAnsi="宋体"/>
          <w:b/>
          <w:kern w:val="0"/>
          <w:szCs w:val="21"/>
        </w:rPr>
        <w:t>四、服务费用及结算方式</w:t>
      </w:r>
    </w:p>
    <w:p>
      <w:pPr>
        <w:spacing w:beforeLines="100" w:line="276" w:lineRule="auto"/>
        <w:ind w:left="420" w:hanging="420" w:hangingChars="200"/>
        <w:rPr>
          <w:rFonts w:ascii="宋体" w:hAnsi="宋体"/>
          <w:kern w:val="0"/>
          <w:szCs w:val="21"/>
        </w:rPr>
      </w:pPr>
      <w:r>
        <w:rPr>
          <w:rFonts w:hint="eastAsia" w:ascii="宋体" w:hAnsi="宋体" w:cs="Arial"/>
          <w:color w:val="000000"/>
          <w:szCs w:val="21"/>
        </w:rPr>
        <w:t>4.1甲乙双方结算的依据是甲方的宝付商户后台的查询结果以及甲方的银行对账凭证，双方以人民币为结算货币。如甲方开通代付服务，可通过宝付商户后台向乙方申请将其结算款项汇入甲方指定的银行账号，甲方将承担因账户信息不正确而造成的相应损失。</w:t>
      </w:r>
    </w:p>
    <w:p>
      <w:pPr>
        <w:tabs>
          <w:tab w:val="left" w:pos="0"/>
          <w:tab w:val="left" w:pos="180"/>
        </w:tabs>
        <w:spacing w:beforeLines="100" w:line="276" w:lineRule="auto"/>
        <w:rPr>
          <w:rFonts w:ascii="宋体" w:hAnsi="宋体"/>
          <w:kern w:val="0"/>
          <w:szCs w:val="21"/>
        </w:rPr>
      </w:pPr>
      <w:r>
        <w:rPr>
          <w:rFonts w:hint="eastAsia" w:ascii="宋体" w:hAnsi="宋体"/>
          <w:kern w:val="0"/>
          <w:szCs w:val="21"/>
        </w:rPr>
        <w:t>4.2乙方于每月15日左右向甲方提供合法的增值税发票。</w:t>
      </w:r>
    </w:p>
    <w:p>
      <w:pPr>
        <w:spacing w:beforeLines="100" w:line="276" w:lineRule="auto"/>
        <w:rPr>
          <w:rFonts w:ascii="宋体" w:hAnsi="宋体" w:cs="Arial"/>
          <w:color w:val="000000"/>
          <w:szCs w:val="21"/>
          <w:highlight w:val="yellow"/>
        </w:rPr>
      </w:pPr>
      <w:r>
        <w:rPr>
          <w:rFonts w:hint="eastAsia" w:ascii="宋体" w:hAnsi="宋体" w:cs="Arial"/>
          <w:color w:val="000000"/>
          <w:szCs w:val="21"/>
        </w:rPr>
        <w:t>4.3甲方以本协议第一条填写的手续费扣收方式支付服务手续费，不同手续费扣收方式的定义如下：</w:t>
      </w:r>
    </w:p>
    <w:p>
      <w:pPr>
        <w:tabs>
          <w:tab w:val="left" w:pos="180"/>
          <w:tab w:val="left" w:pos="851"/>
        </w:tabs>
        <w:spacing w:beforeLines="100" w:line="276" w:lineRule="auto"/>
        <w:ind w:firstLine="420" w:firstLineChars="200"/>
        <w:rPr>
          <w:rFonts w:ascii="宋体" w:hAnsi="宋体" w:cs="Arial"/>
          <w:color w:val="000000"/>
          <w:szCs w:val="21"/>
        </w:rPr>
      </w:pPr>
      <w:r>
        <w:rPr>
          <w:rFonts w:hint="eastAsia" w:ascii="宋体" w:hAnsi="宋体" w:cs="Arial"/>
          <w:color w:val="000000"/>
          <w:szCs w:val="21"/>
        </w:rPr>
        <w:t>（1）手续费实时扣除：乙方于甲方每笔交易发生时，实时扣除服务手续费；</w:t>
      </w:r>
    </w:p>
    <w:p>
      <w:pPr>
        <w:tabs>
          <w:tab w:val="left" w:pos="180"/>
          <w:tab w:val="left" w:pos="851"/>
        </w:tabs>
        <w:spacing w:beforeLines="100" w:line="276" w:lineRule="auto"/>
        <w:ind w:left="420" w:leftChars="200"/>
        <w:rPr>
          <w:rFonts w:ascii="宋体" w:hAnsi="宋体"/>
          <w:kern w:val="0"/>
          <w:szCs w:val="21"/>
        </w:rPr>
      </w:pPr>
      <w:r>
        <w:rPr>
          <w:rFonts w:hint="eastAsia" w:ascii="宋体" w:hAnsi="宋体" w:cs="Arial"/>
          <w:color w:val="000000"/>
          <w:szCs w:val="21"/>
        </w:rPr>
        <w:t>（2）</w:t>
      </w:r>
      <w:r>
        <w:rPr>
          <w:rFonts w:hint="eastAsia" w:ascii="宋体" w:hAnsi="宋体"/>
          <w:kern w:val="0"/>
          <w:szCs w:val="21"/>
        </w:rPr>
        <w:t>手续费预付费：甲方预先将手续费通过企业网银划拨方式付款至手续费账户中，乙方将在手续费账户中实时扣收甲方交易手续费。甲方应确保手续费账户中余额充足，因手续费账户余额不足导致交易失败或交易金额无法入账等后果的，由甲方自行承担，乙方不承担任何责任。</w:t>
      </w:r>
    </w:p>
    <w:p>
      <w:pPr>
        <w:spacing w:beforeLines="100" w:line="276" w:lineRule="auto"/>
        <w:ind w:left="420" w:hanging="420" w:hangingChars="200"/>
        <w:rPr>
          <w:rFonts w:ascii="宋体" w:hAnsi="宋体" w:cs="Arial"/>
          <w:color w:val="000000"/>
          <w:szCs w:val="21"/>
        </w:rPr>
      </w:pPr>
      <w:r>
        <w:rPr>
          <w:rFonts w:hint="eastAsia" w:ascii="宋体" w:hAnsi="宋体" w:cs="Arial"/>
          <w:color w:val="000000"/>
          <w:szCs w:val="21"/>
        </w:rPr>
        <w:t>4.4 对于网上交易流程中由于甲方原因造成甲方不能为甲方用户提供服务而需做退款处理的情况，乙方将根据甲方指示将相关交易资金从甲方的待结算资金中扣减，若甲方在乙方的待结算资金不足以用来支付退款的，甲方应及时补足款项，以使双方合作能正常延续。乙方从甲方待结算资金中扣减退款不向甲方收取服务费，但如甲方向乙方以其他方式提供资金而产生的费用由甲方承担。</w:t>
      </w:r>
    </w:p>
    <w:p>
      <w:pPr>
        <w:spacing w:beforeLines="100" w:line="276" w:lineRule="auto"/>
        <w:rPr>
          <w:rFonts w:ascii="宋体" w:hAnsi="宋体" w:cs="Arial"/>
          <w:color w:val="000000"/>
          <w:szCs w:val="21"/>
        </w:rPr>
      </w:pPr>
      <w:r>
        <w:rPr>
          <w:rFonts w:hint="eastAsia" w:ascii="宋体" w:hAnsi="宋体" w:cs="Arial"/>
          <w:color w:val="000000"/>
          <w:szCs w:val="21"/>
        </w:rPr>
        <w:drawing>
          <wp:anchor distT="0" distB="0" distL="114300" distR="114300" simplePos="0" relativeHeight="251669504" behindDoc="1" locked="0" layoutInCell="1" allowOverlap="1">
            <wp:simplePos x="0" y="0"/>
            <wp:positionH relativeFrom="column">
              <wp:posOffset>-39370</wp:posOffset>
            </wp:positionH>
            <wp:positionV relativeFrom="paragraph">
              <wp:posOffset>224155</wp:posOffset>
            </wp:positionV>
            <wp:extent cx="5267960" cy="7456805"/>
            <wp:effectExtent l="0" t="0" r="0" b="0"/>
            <wp:wrapNone/>
            <wp:docPr id="6" name="图片 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水印"/>
                    <pic:cNvPicPr>
                      <a:picLocks noChangeAspect="1"/>
                    </pic:cNvPicPr>
                  </pic:nvPicPr>
                  <pic:blipFill>
                    <a:blip r:embed="rId7"/>
                    <a:stretch>
                      <a:fillRect/>
                    </a:stretch>
                  </pic:blipFill>
                  <pic:spPr>
                    <a:xfrm>
                      <a:off x="0" y="0"/>
                      <a:ext cx="5267960" cy="7456805"/>
                    </a:xfrm>
                    <a:prstGeom prst="rect">
                      <a:avLst/>
                    </a:prstGeom>
                    <a:noFill/>
                    <a:ln w="9525">
                      <a:noFill/>
                    </a:ln>
                  </pic:spPr>
                </pic:pic>
              </a:graphicData>
            </a:graphic>
          </wp:anchor>
        </w:drawing>
      </w:r>
      <w:r>
        <w:rPr>
          <w:rFonts w:hint="eastAsia" w:ascii="宋体" w:hAnsi="宋体" w:cs="Arial"/>
          <w:color w:val="000000"/>
          <w:szCs w:val="21"/>
        </w:rPr>
        <w:t>4.5本协议项下所涉及的各种款项、费用的支付、流转、结算等均不再涉及利息。</w:t>
      </w:r>
    </w:p>
    <w:p>
      <w:pPr>
        <w:spacing w:beforeLines="100" w:line="276" w:lineRule="auto"/>
        <w:rPr>
          <w:rFonts w:ascii="宋体" w:hAnsi="宋体"/>
          <w:b/>
          <w:kern w:val="0"/>
          <w:szCs w:val="21"/>
        </w:rPr>
      </w:pPr>
      <w:r>
        <w:rPr>
          <w:rFonts w:hint="eastAsia" w:ascii="宋体" w:hAnsi="宋体"/>
          <w:b/>
          <w:kern w:val="0"/>
          <w:szCs w:val="21"/>
        </w:rPr>
        <w:t>五、违约责任及协议解除</w:t>
      </w:r>
    </w:p>
    <w:p>
      <w:pPr>
        <w:spacing w:beforeLines="100" w:line="276" w:lineRule="auto"/>
        <w:ind w:left="420" w:hanging="420" w:hangingChars="200"/>
        <w:rPr>
          <w:rFonts w:ascii="宋体" w:hAnsi="宋体"/>
          <w:kern w:val="0"/>
          <w:szCs w:val="21"/>
        </w:rPr>
      </w:pPr>
      <w:r>
        <w:rPr>
          <w:rFonts w:hint="eastAsia" w:ascii="宋体" w:hAnsi="宋体"/>
          <w:kern w:val="0"/>
          <w:szCs w:val="21"/>
        </w:rPr>
        <w:t>5.1本协议履行过程中，任意一方有如下行为的，视为其违约，守约方可就此单方面解除本协议，违约方给守约方造成损失的，还应当承担赔偿责任：</w:t>
      </w:r>
    </w:p>
    <w:p>
      <w:pPr>
        <w:spacing w:beforeLines="100" w:line="276" w:lineRule="auto"/>
        <w:ind w:firstLine="420" w:firstLineChars="200"/>
        <w:rPr>
          <w:rFonts w:ascii="宋体" w:hAnsi="宋体"/>
          <w:kern w:val="0"/>
          <w:szCs w:val="21"/>
        </w:rPr>
      </w:pPr>
      <w:r>
        <w:rPr>
          <w:rFonts w:hint="eastAsia" w:ascii="宋体" w:hAnsi="宋体"/>
          <w:kern w:val="0"/>
          <w:szCs w:val="21"/>
        </w:rPr>
        <w:t>（1）不具备经营资质、行政许可，或违法经营、侵害消费者用户合法权益；</w:t>
      </w:r>
    </w:p>
    <w:p>
      <w:pPr>
        <w:spacing w:beforeLines="100" w:line="276" w:lineRule="auto"/>
        <w:ind w:firstLine="420" w:firstLineChars="200"/>
        <w:rPr>
          <w:rFonts w:ascii="宋体" w:hAnsi="宋体"/>
          <w:kern w:val="0"/>
          <w:szCs w:val="21"/>
        </w:rPr>
      </w:pPr>
      <w:r>
        <w:rPr>
          <w:rFonts w:hint="eastAsia" w:ascii="宋体" w:hAnsi="宋体"/>
          <w:kern w:val="0"/>
          <w:szCs w:val="21"/>
        </w:rPr>
        <w:t>（2）与客户或他人串通从事诈骗资金、洗钱等违法犯罪活动；</w:t>
      </w:r>
    </w:p>
    <w:p>
      <w:pPr>
        <w:spacing w:beforeLines="100" w:line="276" w:lineRule="auto"/>
        <w:ind w:firstLine="420" w:firstLineChars="200"/>
        <w:rPr>
          <w:rFonts w:ascii="宋体" w:hAnsi="宋体"/>
          <w:kern w:val="0"/>
          <w:szCs w:val="21"/>
        </w:rPr>
      </w:pPr>
      <w:r>
        <w:rPr>
          <w:rFonts w:hint="eastAsia" w:ascii="宋体" w:hAnsi="宋体"/>
          <w:kern w:val="0"/>
          <w:szCs w:val="21"/>
        </w:rPr>
        <w:t>（3）在交易中存在过多交易纠纷或过大的交易风险；</w:t>
      </w:r>
    </w:p>
    <w:p>
      <w:pPr>
        <w:spacing w:beforeLines="100" w:line="276" w:lineRule="auto"/>
        <w:ind w:firstLine="420" w:firstLineChars="200"/>
        <w:rPr>
          <w:rFonts w:ascii="宋体" w:hAnsi="宋体"/>
          <w:kern w:val="0"/>
          <w:szCs w:val="21"/>
        </w:rPr>
      </w:pPr>
      <w:r>
        <w:rPr>
          <w:rFonts w:hint="eastAsia" w:ascii="宋体" w:hAnsi="宋体"/>
          <w:kern w:val="0"/>
          <w:szCs w:val="21"/>
        </w:rPr>
        <w:t>（4）其他违反本协议约定的行为。</w:t>
      </w:r>
    </w:p>
    <w:p>
      <w:pPr>
        <w:spacing w:beforeLines="100" w:line="276" w:lineRule="auto"/>
        <w:ind w:left="420" w:hanging="420" w:hangingChars="200"/>
        <w:rPr>
          <w:rFonts w:ascii="宋体" w:hAnsi="宋体"/>
          <w:kern w:val="0"/>
          <w:szCs w:val="21"/>
        </w:rPr>
      </w:pPr>
      <w:r>
        <w:rPr>
          <w:rFonts w:hint="eastAsia" w:ascii="宋体" w:hAnsi="宋体"/>
          <w:kern w:val="0"/>
          <w:szCs w:val="21"/>
        </w:rPr>
        <w:t>5.2甲方未通过网站或其他途径提供真实有效的联系方式，或因甲方发生业务变更、终止等情况而未及时通知乙方，乙方在</w:t>
      </w:r>
      <w:r>
        <w:rPr>
          <w:rFonts w:ascii="宋体" w:hAnsi="宋体"/>
          <w:kern w:val="0"/>
          <w:szCs w:val="21"/>
        </w:rPr>
        <w:t>7</w:t>
      </w:r>
      <w:r>
        <w:rPr>
          <w:rFonts w:hint="eastAsia" w:ascii="宋体" w:hAnsi="宋体"/>
          <w:kern w:val="0"/>
          <w:szCs w:val="21"/>
        </w:rPr>
        <w:t>天之内也无法联系到甲方的，乙方有权单方面解除本协议。</w:t>
      </w:r>
    </w:p>
    <w:p>
      <w:pPr>
        <w:spacing w:beforeLines="100" w:line="276" w:lineRule="auto"/>
        <w:ind w:left="420" w:hanging="420" w:hangingChars="200"/>
        <w:rPr>
          <w:rFonts w:ascii="宋体" w:hAnsi="宋体"/>
          <w:kern w:val="0"/>
          <w:szCs w:val="21"/>
        </w:rPr>
      </w:pPr>
      <w:r>
        <w:rPr>
          <w:rFonts w:hint="eastAsia" w:ascii="宋体" w:hAnsi="宋体"/>
          <w:kern w:val="0"/>
          <w:szCs w:val="21"/>
        </w:rPr>
        <w:t>5.3银行、电信或行政、司法等部门出具了要求终止一方交易的书面通知的，则收到通知的一方有权与另一方解除本协议。</w:t>
      </w:r>
    </w:p>
    <w:p>
      <w:pPr>
        <w:spacing w:beforeLines="100" w:line="276" w:lineRule="auto"/>
        <w:ind w:left="420" w:hanging="420" w:hangingChars="200"/>
        <w:rPr>
          <w:rFonts w:ascii="宋体" w:hAnsi="宋体"/>
          <w:kern w:val="0"/>
          <w:szCs w:val="21"/>
        </w:rPr>
      </w:pPr>
      <w:r>
        <w:rPr>
          <w:rFonts w:hint="eastAsia" w:ascii="宋体" w:hAnsi="宋体"/>
          <w:kern w:val="0"/>
          <w:szCs w:val="21"/>
        </w:rPr>
        <w:t>5.4任何一方依据本协议或法律规定提前解除本协议时，必须提前</w:t>
      </w:r>
      <w:r>
        <w:rPr>
          <w:rFonts w:ascii="宋体" w:hAnsi="宋体"/>
          <w:kern w:val="0"/>
          <w:szCs w:val="21"/>
        </w:rPr>
        <w:t>7</w:t>
      </w:r>
      <w:r>
        <w:rPr>
          <w:rFonts w:hint="eastAsia" w:ascii="宋体" w:hAnsi="宋体"/>
          <w:kern w:val="0"/>
          <w:szCs w:val="21"/>
        </w:rPr>
        <w:t>天通知另一方。</w:t>
      </w:r>
    </w:p>
    <w:p>
      <w:pPr>
        <w:spacing w:beforeLines="100" w:line="276" w:lineRule="auto"/>
        <w:ind w:left="420" w:hanging="420" w:hangingChars="200"/>
        <w:rPr>
          <w:rFonts w:ascii="宋体" w:hAnsi="宋体"/>
          <w:kern w:val="0"/>
          <w:szCs w:val="21"/>
        </w:rPr>
      </w:pPr>
      <w:r>
        <w:rPr>
          <w:rFonts w:hint="eastAsia" w:ascii="宋体" w:hAnsi="宋体"/>
          <w:kern w:val="0"/>
          <w:szCs w:val="21"/>
        </w:rPr>
        <w:t>5.5本协议解除或终止后，自甲方通过乙方接口发生最后一笔交易起的180天后，双方应根据本协议要求及时结清与对方的一切债权债务。在此期间因甲方与甲方客户的交易产生的纠纷、投诉或调单等情形的，甲方仍负有依照协议约定提供交易明细、协助调查或赔付的义务。</w:t>
      </w:r>
    </w:p>
    <w:p>
      <w:pPr>
        <w:spacing w:beforeLines="100" w:line="276" w:lineRule="auto"/>
        <w:rPr>
          <w:rFonts w:ascii="宋体" w:hAnsi="宋体"/>
          <w:b/>
          <w:kern w:val="0"/>
          <w:szCs w:val="21"/>
        </w:rPr>
      </w:pPr>
      <w:r>
        <w:rPr>
          <w:rFonts w:hint="eastAsia" w:ascii="宋体" w:hAnsi="宋体"/>
          <w:b/>
          <w:kern w:val="0"/>
          <w:szCs w:val="21"/>
        </w:rPr>
        <w:t>六、合作期限</w:t>
      </w:r>
    </w:p>
    <w:p>
      <w:pPr>
        <w:tabs>
          <w:tab w:val="left" w:pos="567"/>
        </w:tabs>
        <w:spacing w:beforeLines="100" w:line="276" w:lineRule="auto"/>
        <w:ind w:left="420" w:hanging="420" w:hangingChars="200"/>
        <w:rPr>
          <w:rFonts w:ascii="宋体" w:hAnsi="宋体"/>
          <w:kern w:val="0"/>
          <w:szCs w:val="21"/>
        </w:rPr>
      </w:pPr>
      <w:r>
        <w:rPr>
          <w:rFonts w:hint="eastAsia" w:ascii="宋体" w:hAnsi="宋体"/>
          <w:kern w:val="0"/>
          <w:szCs w:val="21"/>
        </w:rPr>
        <w:t>6.1 本协议自双方盖章之日起生效，</w:t>
      </w:r>
      <w:r>
        <w:rPr>
          <w:rFonts w:hint="eastAsia" w:ascii="宋体" w:hAnsi="宋体"/>
          <w:kern w:val="0"/>
          <w:szCs w:val="21"/>
          <w:highlight w:val="yellow"/>
        </w:rPr>
        <w:t>终止日期为本协议封面日期签订之日起一年。</w:t>
      </w:r>
      <w:r>
        <w:rPr>
          <w:rFonts w:hint="eastAsia" w:ascii="宋体" w:hAnsi="宋体"/>
          <w:kern w:val="0"/>
          <w:szCs w:val="21"/>
        </w:rPr>
        <w:t>本协议到期日前的三十日内，如任何一方未以书面形式明确向对方提出不续约要求，则本协议有效期以相同条件自动顺延，直至一方书面提出终止为止。</w:t>
      </w:r>
    </w:p>
    <w:p>
      <w:pPr>
        <w:spacing w:beforeLines="100" w:line="276" w:lineRule="auto"/>
        <w:rPr>
          <w:rFonts w:ascii="宋体" w:hAnsi="宋体"/>
          <w:b/>
          <w:kern w:val="0"/>
          <w:szCs w:val="21"/>
        </w:rPr>
      </w:pPr>
      <w:r>
        <w:rPr>
          <w:rFonts w:hint="eastAsia" w:ascii="宋体" w:hAnsi="宋体"/>
          <w:b/>
          <w:kern w:val="0"/>
          <w:szCs w:val="21"/>
        </w:rPr>
        <w:t>七、其它</w:t>
      </w:r>
    </w:p>
    <w:p>
      <w:pPr>
        <w:tabs>
          <w:tab w:val="left" w:pos="180"/>
        </w:tabs>
        <w:spacing w:beforeLines="100" w:line="276" w:lineRule="auto"/>
        <w:ind w:left="420" w:hanging="420" w:hangingChars="200"/>
        <w:rPr>
          <w:rFonts w:ascii="宋体" w:hAnsi="宋体"/>
          <w:kern w:val="0"/>
          <w:szCs w:val="21"/>
        </w:rPr>
      </w:pPr>
      <w:r>
        <w:rPr>
          <w:rFonts w:hint="eastAsia" w:ascii="宋体" w:hAnsi="宋体"/>
          <w:kern w:val="0"/>
          <w:szCs w:val="21"/>
        </w:rPr>
        <w:t>7.1本协议要求的或者履行必须的所有通知，以书面形式，发送到本协议所列地址或者电子邮箱。如以快递方式送达，则实际送至另一方的日期为有效送达日期。如以电子邮件形式送达，则以发送方指定邮箱显示电子邮件已经发送完成之时视为送达。</w:t>
      </w:r>
    </w:p>
    <w:p>
      <w:pPr>
        <w:tabs>
          <w:tab w:val="left" w:pos="180"/>
        </w:tabs>
        <w:spacing w:beforeLines="100" w:line="276" w:lineRule="auto"/>
        <w:ind w:left="420" w:hanging="420" w:hangingChars="200"/>
        <w:rPr>
          <w:rFonts w:ascii="宋体" w:hAnsi="宋体"/>
          <w:kern w:val="0"/>
          <w:szCs w:val="21"/>
        </w:rPr>
      </w:pPr>
      <w:r>
        <w:rPr>
          <w:rFonts w:hint="eastAsia" w:ascii="宋体" w:hAnsi="宋体"/>
          <w:kern w:val="0"/>
          <w:szCs w:val="21"/>
        </w:rPr>
        <w:t>7.2因甲方、甲方客户、银行、电信、网络、设备及供电故障、不可抗力或乙方以外的其他原因，</w:t>
      </w:r>
      <w:r>
        <w:rPr>
          <w:rFonts w:hint="eastAsia" w:ascii="宋体" w:hAnsi="宋体"/>
          <w:kern w:val="0"/>
          <w:szCs w:val="21"/>
        </w:rPr>
        <w:drawing>
          <wp:anchor distT="0" distB="0" distL="114300" distR="114300" simplePos="0" relativeHeight="251673600" behindDoc="1" locked="0" layoutInCell="1" allowOverlap="1">
            <wp:simplePos x="0" y="0"/>
            <wp:positionH relativeFrom="column">
              <wp:posOffset>-39370</wp:posOffset>
            </wp:positionH>
            <wp:positionV relativeFrom="paragraph">
              <wp:posOffset>679450</wp:posOffset>
            </wp:positionV>
            <wp:extent cx="5267960" cy="7456805"/>
            <wp:effectExtent l="0" t="0" r="0" b="0"/>
            <wp:wrapNone/>
            <wp:docPr id="7" name="图片 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水印"/>
                    <pic:cNvPicPr>
                      <a:picLocks noChangeAspect="1"/>
                    </pic:cNvPicPr>
                  </pic:nvPicPr>
                  <pic:blipFill>
                    <a:blip r:embed="rId7"/>
                    <a:stretch>
                      <a:fillRect/>
                    </a:stretch>
                  </pic:blipFill>
                  <pic:spPr>
                    <a:xfrm>
                      <a:off x="0" y="0"/>
                      <a:ext cx="5267960" cy="7456805"/>
                    </a:xfrm>
                    <a:prstGeom prst="rect">
                      <a:avLst/>
                    </a:prstGeom>
                    <a:noFill/>
                    <a:ln w="9525">
                      <a:noFill/>
                    </a:ln>
                  </pic:spPr>
                </pic:pic>
              </a:graphicData>
            </a:graphic>
          </wp:anchor>
        </w:drawing>
      </w:r>
      <w:r>
        <w:rPr>
          <w:rFonts w:hint="eastAsia" w:ascii="宋体" w:hAnsi="宋体"/>
          <w:kern w:val="0"/>
          <w:szCs w:val="21"/>
        </w:rPr>
        <w:t>导致乙方的支付产品不能正常运营或乙方不能及时履行本协议约定义务的，乙方不承担相关的法律责任。</w:t>
      </w:r>
    </w:p>
    <w:p>
      <w:pPr>
        <w:tabs>
          <w:tab w:val="left" w:pos="180"/>
        </w:tabs>
        <w:spacing w:beforeLines="100" w:line="276" w:lineRule="auto"/>
        <w:ind w:left="420" w:hanging="420" w:hangingChars="200"/>
        <w:rPr>
          <w:rFonts w:ascii="宋体" w:hAnsi="宋体"/>
          <w:kern w:val="0"/>
          <w:szCs w:val="21"/>
        </w:rPr>
      </w:pPr>
      <w:r>
        <w:rPr>
          <w:rFonts w:hint="eastAsia" w:ascii="宋体" w:hAnsi="宋体"/>
          <w:kern w:val="0"/>
          <w:szCs w:val="21"/>
        </w:rPr>
        <w:t>7.3本协议所约定的合作内容，以及在履行本协议过程中乙方的技术信息、技术咨询和服务，以及甲方的交易信息，均为保密信息，未经一方允许，另一方不得将其转交其它企业使用或透露给第三方。否则一方有权解除本协议，并追究另一方的赔偿责任。</w:t>
      </w:r>
    </w:p>
    <w:p>
      <w:pPr>
        <w:tabs>
          <w:tab w:val="left" w:pos="180"/>
        </w:tabs>
        <w:spacing w:beforeLines="100" w:line="276" w:lineRule="auto"/>
        <w:ind w:left="420" w:hanging="420" w:hangingChars="200"/>
        <w:rPr>
          <w:rFonts w:ascii="宋体" w:hAnsi="宋体"/>
          <w:kern w:val="0"/>
          <w:szCs w:val="21"/>
        </w:rPr>
      </w:pPr>
      <w:r>
        <w:rPr>
          <w:rFonts w:hint="eastAsia" w:ascii="宋体" w:hAnsi="宋体"/>
          <w:kern w:val="0"/>
          <w:szCs w:val="21"/>
        </w:rPr>
        <w:t>7.4未经乙方书面授权同意，甲方不得在广告、宣传等市场活动中或以其他任何方式使用乙方的商标、品牌和企业名称。经乙方书面授权同意后，甲方应当向乙方提交使用乙方商标、品牌和企业名称的方案供乙方审核，并按照乙方授权的内容（包括授权范围、授权期限等）和审核修改的方案使用乙方的商标、品牌和企业名称。</w:t>
      </w:r>
    </w:p>
    <w:p>
      <w:pPr>
        <w:tabs>
          <w:tab w:val="left" w:pos="180"/>
        </w:tabs>
        <w:spacing w:beforeLines="100" w:line="276" w:lineRule="auto"/>
        <w:ind w:left="420" w:hanging="420" w:hangingChars="200"/>
        <w:rPr>
          <w:rFonts w:ascii="宋体" w:hAnsi="宋体"/>
          <w:kern w:val="0"/>
          <w:szCs w:val="21"/>
        </w:rPr>
      </w:pPr>
      <w:r>
        <w:rPr>
          <w:rFonts w:hint="eastAsia" w:ascii="宋体" w:hAnsi="宋体"/>
          <w:kern w:val="0"/>
          <w:szCs w:val="21"/>
        </w:rPr>
        <w:t>7.5本协议的解释、适用、争议解决等一切事宜，均适用中华人民共和国法律（香港特别行政区、澳门特别行政区和台湾地区的法律除外），冲突法规则除外。在履行本协议过程中发生的任何争议，应首先由甲、乙双方友好协商解决；协商不成的，任何一方均可向乙方所在地法院提起诉讼。</w:t>
      </w:r>
    </w:p>
    <w:p>
      <w:pPr>
        <w:tabs>
          <w:tab w:val="left" w:pos="180"/>
        </w:tabs>
        <w:spacing w:beforeLines="100" w:line="276" w:lineRule="auto"/>
        <w:ind w:left="420" w:hanging="420" w:hangingChars="200"/>
        <w:rPr>
          <w:rFonts w:ascii="宋体" w:hAnsi="宋体"/>
          <w:kern w:val="0"/>
          <w:szCs w:val="21"/>
        </w:rPr>
      </w:pPr>
      <w:r>
        <w:rPr>
          <w:rFonts w:hint="eastAsia" w:ascii="宋体" w:hAnsi="宋体"/>
          <w:kern w:val="0"/>
          <w:szCs w:val="21"/>
        </w:rPr>
        <w:t>7.6本协议一式二份，甲、乙双方各执一份，每份具有同等法律效力。附件与本协议具有同等法律效力。</w:t>
      </w:r>
    </w:p>
    <w:p>
      <w:pPr>
        <w:spacing w:beforeLines="100" w:line="276" w:lineRule="auto"/>
        <w:rPr>
          <w:rFonts w:ascii="宋体" w:hAnsi="宋体"/>
          <w:b/>
          <w:kern w:val="0"/>
          <w:szCs w:val="21"/>
        </w:rPr>
      </w:pPr>
      <w:r>
        <w:rPr>
          <w:rFonts w:hint="eastAsia" w:ascii="宋体" w:hAnsi="宋体"/>
          <w:b/>
          <w:kern w:val="0"/>
          <w:szCs w:val="21"/>
        </w:rPr>
        <w:t>甲方声明： 乙方已提请我方对本协议各条款作出全面、准确的理解，并应我方要求作了相应条款的</w:t>
      </w:r>
    </w:p>
    <w:p>
      <w:pPr>
        <w:spacing w:beforeLines="100" w:line="276" w:lineRule="auto"/>
        <w:rPr>
          <w:rFonts w:ascii="宋体" w:hAnsi="宋体"/>
          <w:b/>
          <w:kern w:val="0"/>
          <w:szCs w:val="21"/>
        </w:rPr>
      </w:pPr>
      <w:r>
        <w:rPr>
          <w:rFonts w:hint="eastAsia" w:ascii="宋体" w:hAnsi="宋体"/>
          <w:b/>
          <w:kern w:val="0"/>
          <w:szCs w:val="21"/>
        </w:rPr>
        <w:t>说明。签约各方对本协议的含义认识一致，认同并接受本协议全部条款。</w:t>
      </w:r>
    </w:p>
    <w:p>
      <w:pPr>
        <w:spacing w:beforeLines="100" w:line="276" w:lineRule="auto"/>
        <w:rPr>
          <w:rFonts w:ascii="宋体" w:hAnsi="宋体"/>
          <w:kern w:val="0"/>
          <w:szCs w:val="21"/>
        </w:rPr>
      </w:pPr>
    </w:p>
    <w:p>
      <w:pPr>
        <w:spacing w:beforeLines="100" w:line="276" w:lineRule="auto"/>
        <w:rPr>
          <w:rFonts w:ascii="宋体" w:hAnsi="宋体"/>
          <w:kern w:val="0"/>
          <w:szCs w:val="21"/>
        </w:rPr>
      </w:pPr>
      <w:r>
        <w:rPr>
          <w:rFonts w:hint="eastAsia" w:ascii="宋体" w:hAnsi="宋体"/>
          <w:kern w:val="0"/>
          <w:szCs w:val="21"/>
        </w:rPr>
        <w:t>本协议包含如下附件：</w:t>
      </w:r>
    </w:p>
    <w:p>
      <w:pPr>
        <w:spacing w:beforeLines="100" w:line="276" w:lineRule="auto"/>
        <w:rPr>
          <w:rFonts w:ascii="宋体" w:hAnsi="宋体"/>
          <w:kern w:val="0"/>
          <w:szCs w:val="21"/>
        </w:rPr>
      </w:pPr>
      <w:r>
        <w:rPr>
          <w:rFonts w:hint="eastAsia" w:ascii="宋体" w:hAnsi="宋体"/>
          <w:kern w:val="0"/>
          <w:szCs w:val="21"/>
        </w:rPr>
        <w:t>附件一《产品补充协议一》</w:t>
      </w:r>
    </w:p>
    <w:p>
      <w:pPr>
        <w:spacing w:beforeLines="100" w:line="276" w:lineRule="auto"/>
        <w:rPr>
          <w:rFonts w:ascii="宋体" w:hAnsi="宋体"/>
          <w:kern w:val="0"/>
          <w:szCs w:val="21"/>
        </w:rPr>
      </w:pPr>
      <w:r>
        <w:rPr>
          <w:rFonts w:ascii="宋体" w:hAnsi="宋体"/>
          <w:kern w:val="0"/>
          <w:szCs w:val="21"/>
        </w:rPr>
        <w:t>附件</w:t>
      </w:r>
      <w:r>
        <w:rPr>
          <w:rFonts w:hint="eastAsia" w:ascii="宋体" w:hAnsi="宋体"/>
          <w:kern w:val="0"/>
          <w:szCs w:val="21"/>
        </w:rPr>
        <w:t>二</w:t>
      </w:r>
      <w:r>
        <w:rPr>
          <w:rFonts w:ascii="宋体" w:hAnsi="宋体"/>
          <w:kern w:val="0"/>
          <w:szCs w:val="21"/>
        </w:rPr>
        <w:t>《代付服务协议》</w:t>
      </w:r>
    </w:p>
    <w:p>
      <w:pPr>
        <w:spacing w:beforeLines="100" w:line="276" w:lineRule="auto"/>
        <w:rPr>
          <w:rFonts w:ascii="宋体" w:hAnsi="宋体"/>
          <w:b/>
          <w:kern w:val="0"/>
          <w:szCs w:val="21"/>
        </w:rPr>
      </w:pPr>
      <w:r>
        <w:rPr>
          <w:rFonts w:hint="eastAsia" w:ascii="宋体" w:hAnsi="宋体"/>
          <w:b/>
          <w:kern w:val="0"/>
          <w:szCs w:val="21"/>
        </w:rPr>
        <w:t>（签署处）</w:t>
      </w:r>
    </w:p>
    <w:p>
      <w:pPr>
        <w:spacing w:beforeLines="100" w:line="276" w:lineRule="auto"/>
        <w:ind w:right="-426" w:rightChars="-203"/>
        <w:rPr>
          <w:rFonts w:ascii="宋体" w:hAnsi="宋体" w:cs="Arial"/>
          <w:color w:val="000000"/>
          <w:szCs w:val="21"/>
        </w:rPr>
      </w:pPr>
      <w:r>
        <w:rPr>
          <w:rFonts w:hint="eastAsia" w:ascii="宋体" w:hAnsi="宋体" w:cs="Arial"/>
          <w:color w:val="000000"/>
          <w:szCs w:val="21"/>
        </w:rPr>
        <w:t>甲方</w:t>
      </w:r>
      <w:r>
        <w:rPr>
          <w:rFonts w:hint="eastAsia" w:ascii="宋体" w:hAnsi="宋体" w:cs="Arial"/>
          <w:szCs w:val="21"/>
        </w:rPr>
        <w:t>（盖章）</w:t>
      </w:r>
      <w:r>
        <w:rPr>
          <w:rFonts w:hint="eastAsia" w:ascii="宋体" w:hAnsi="宋体" w:cs="Arial"/>
          <w:color w:val="000000"/>
          <w:szCs w:val="21"/>
        </w:rPr>
        <w:t>：                          乙方（盖章）：宝付网络科技（上海）有限公司</w:t>
      </w:r>
    </w:p>
    <w:p>
      <w:pPr>
        <w:pStyle w:val="19"/>
        <w:adjustRightInd w:val="0"/>
        <w:snapToGrid w:val="0"/>
        <w:spacing w:beforeLines="50"/>
        <w:ind w:right="-863" w:rightChars="-411" w:firstLine="0" w:firstLineChars="0"/>
        <w:outlineLvl w:val="0"/>
        <w:rPr>
          <w:b/>
          <w:kern w:val="0"/>
        </w:rPr>
      </w:pPr>
    </w:p>
    <w:p>
      <w:pPr>
        <w:spacing w:beforeLines="50"/>
        <w:rPr>
          <w:b/>
          <w:kern w:val="0"/>
        </w:rPr>
      </w:pPr>
      <w:r>
        <w:rPr>
          <w:rFonts w:hint="eastAsia"/>
          <w:b/>
          <w:kern w:val="0"/>
        </w:rPr>
        <w:t>附件一                     产品补充协议一</w:t>
      </w:r>
    </w:p>
    <w:p>
      <w:pPr>
        <w:spacing w:beforeLines="50"/>
        <w:rPr>
          <w:rFonts w:ascii="宋体" w:hAnsi="宋体"/>
          <w:b/>
          <w:kern w:val="0"/>
          <w:szCs w:val="21"/>
        </w:rPr>
      </w:pPr>
      <w:r>
        <w:rPr>
          <w:rFonts w:hint="eastAsia" w:ascii="宋体" w:hAnsi="宋体"/>
          <w:b/>
          <w:kern w:val="0"/>
          <w:szCs w:val="21"/>
        </w:rPr>
        <w:t>一、</w:t>
      </w:r>
      <w:r>
        <w:rPr>
          <w:rFonts w:hint="eastAsia" w:ascii="宋体" w:hAnsi="宋体"/>
          <w:b/>
          <w:kern w:val="0"/>
          <w:szCs w:val="21"/>
        </w:rPr>
        <w:drawing>
          <wp:anchor distT="0" distB="0" distL="114300" distR="114300" simplePos="0" relativeHeight="251698176" behindDoc="1" locked="0" layoutInCell="1" allowOverlap="1">
            <wp:simplePos x="0" y="0"/>
            <wp:positionH relativeFrom="column">
              <wp:posOffset>-39370</wp:posOffset>
            </wp:positionH>
            <wp:positionV relativeFrom="paragraph">
              <wp:posOffset>382270</wp:posOffset>
            </wp:positionV>
            <wp:extent cx="5267960" cy="7456805"/>
            <wp:effectExtent l="0" t="0" r="0" b="0"/>
            <wp:wrapNone/>
            <wp:docPr id="13" name="图片 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水印"/>
                    <pic:cNvPicPr>
                      <a:picLocks noChangeAspect="1"/>
                    </pic:cNvPicPr>
                  </pic:nvPicPr>
                  <pic:blipFill>
                    <a:blip r:embed="rId7"/>
                    <a:stretch>
                      <a:fillRect/>
                    </a:stretch>
                  </pic:blipFill>
                  <pic:spPr>
                    <a:xfrm>
                      <a:off x="0" y="0"/>
                      <a:ext cx="5267960" cy="7456805"/>
                    </a:xfrm>
                    <a:prstGeom prst="rect">
                      <a:avLst/>
                    </a:prstGeom>
                    <a:noFill/>
                    <a:ln w="9525">
                      <a:noFill/>
                    </a:ln>
                  </pic:spPr>
                </pic:pic>
              </a:graphicData>
            </a:graphic>
          </wp:anchor>
        </w:drawing>
      </w:r>
      <w:r>
        <w:rPr>
          <w:rFonts w:hint="eastAsia" w:ascii="宋体" w:hAnsi="宋体"/>
          <w:b/>
          <w:kern w:val="0"/>
          <w:szCs w:val="21"/>
        </w:rPr>
        <w:t>产品类型</w:t>
      </w:r>
    </w:p>
    <w:p>
      <w:pPr>
        <w:spacing w:beforeLines="50"/>
        <w:rPr>
          <w:kern w:val="24"/>
          <w:szCs w:val="21"/>
        </w:rPr>
      </w:pPr>
      <w:r>
        <w:rPr>
          <w:rFonts w:hint="eastAsia"/>
          <w:kern w:val="24"/>
          <w:szCs w:val="21"/>
        </w:rPr>
        <w:t>1.1 资金划拨：</w:t>
      </w:r>
      <w:bookmarkStart w:id="0" w:name="OLE_LINK1"/>
      <w:bookmarkStart w:id="1" w:name="OLE_LINK2"/>
      <w:r>
        <w:rPr>
          <w:rFonts w:hint="eastAsia"/>
          <w:kern w:val="24"/>
          <w:szCs w:val="21"/>
        </w:rPr>
        <w:t>商户通过宝付后台跳转的银行界面使用网银支付</w:t>
      </w:r>
      <w:bookmarkEnd w:id="0"/>
      <w:bookmarkEnd w:id="1"/>
      <w:r>
        <w:rPr>
          <w:rFonts w:hint="eastAsia"/>
          <w:kern w:val="24"/>
          <w:szCs w:val="21"/>
        </w:rPr>
        <w:t>或银行柜面转账将资金划拨至宝付的备付金账户。</w:t>
      </w:r>
    </w:p>
    <w:p>
      <w:pPr>
        <w:spacing w:beforeLines="50"/>
        <w:rPr>
          <w:kern w:val="24"/>
          <w:szCs w:val="21"/>
        </w:rPr>
      </w:pPr>
      <w:r>
        <w:rPr>
          <w:rFonts w:hint="eastAsia"/>
          <w:kern w:val="24"/>
          <w:szCs w:val="21"/>
        </w:rPr>
        <w:t>1.2</w:t>
      </w:r>
      <w:r>
        <w:rPr>
          <w:rFonts w:hint="eastAsia" w:ascii="宋体" w:hAnsi="宋体"/>
          <w:szCs w:val="21"/>
        </w:rPr>
        <w:t>资金划拨-线下打款</w:t>
      </w:r>
      <w:r>
        <w:rPr>
          <w:rFonts w:hint="eastAsia"/>
          <w:kern w:val="24"/>
          <w:szCs w:val="21"/>
        </w:rPr>
        <w:t>：商户通过网银转账或银行柜面转账打款至宝付的备付金账户。</w:t>
      </w:r>
    </w:p>
    <w:p>
      <w:pPr>
        <w:spacing w:beforeLines="50"/>
        <w:rPr>
          <w:kern w:val="24"/>
          <w:szCs w:val="21"/>
        </w:rPr>
      </w:pPr>
      <w:r>
        <w:rPr>
          <w:rFonts w:hint="eastAsia"/>
          <w:kern w:val="24"/>
          <w:szCs w:val="21"/>
        </w:rPr>
        <w:t>1.3 安全认证类服务：根据甲方提供的同一信息主体的银行卡信息、手机号、身份证号以及姓名等信息，返回相关信息的一致性验证结果以及其他相关大数据。</w:t>
      </w:r>
    </w:p>
    <w:p>
      <w:pPr>
        <w:spacing w:beforeLines="50"/>
        <w:rPr>
          <w:kern w:val="24"/>
          <w:szCs w:val="21"/>
        </w:rPr>
      </w:pPr>
      <w:r>
        <w:rPr>
          <w:rFonts w:hint="eastAsia"/>
          <w:kern w:val="24"/>
          <w:szCs w:val="21"/>
        </w:rPr>
        <w:t>1.4网银支付产品：网银支付是以各大银行发行的银行卡为支付介质，用户直接通过对应的网上银行完成线上交易，解决商户与用户之间交易付款问题的支付产品。</w:t>
      </w:r>
    </w:p>
    <w:p>
      <w:pPr>
        <w:spacing w:beforeLines="100"/>
        <w:ind w:firstLine="105" w:firstLineChars="50"/>
        <w:rPr>
          <w:rFonts w:ascii="宋体" w:hAnsi="宋体"/>
          <w:b/>
          <w:kern w:val="0"/>
          <w:szCs w:val="21"/>
        </w:rPr>
      </w:pPr>
      <w:r>
        <w:rPr>
          <w:rFonts w:hint="eastAsia" w:ascii="宋体" w:hAnsi="宋体"/>
          <w:b/>
          <w:kern w:val="0"/>
          <w:szCs w:val="21"/>
        </w:rPr>
        <w:t>二、乙方提供下述产品服务，甲方应向乙方支付的手续费如下：</w:t>
      </w:r>
    </w:p>
    <w:tbl>
      <w:tblPr>
        <w:tblStyle w:val="9"/>
        <w:tblW w:w="8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1"/>
        <w:gridCol w:w="4239"/>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721" w:type="dxa"/>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ascii="宋体" w:hAnsi="宋体"/>
                <w:b/>
                <w:color w:val="000000"/>
                <w:szCs w:val="21"/>
              </w:rPr>
            </w:pPr>
            <w:r>
              <w:rPr>
                <w:rFonts w:hint="eastAsia" w:ascii="宋体" w:hAnsi="宋体"/>
                <w:b/>
                <w:color w:val="000000"/>
                <w:szCs w:val="21"/>
              </w:rPr>
              <w:t>项目</w:t>
            </w:r>
          </w:p>
        </w:tc>
        <w:tc>
          <w:tcPr>
            <w:tcW w:w="4239" w:type="dxa"/>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ascii="宋体" w:hAnsi="宋体"/>
                <w:b/>
                <w:color w:val="000000"/>
                <w:szCs w:val="21"/>
              </w:rPr>
            </w:pPr>
            <w:r>
              <w:rPr>
                <w:rFonts w:hint="eastAsia" w:ascii="宋体" w:hAnsi="宋体"/>
                <w:b/>
                <w:color w:val="000000"/>
                <w:szCs w:val="21"/>
              </w:rPr>
              <w:t>服务内容</w:t>
            </w:r>
          </w:p>
        </w:tc>
        <w:tc>
          <w:tcPr>
            <w:tcW w:w="2006" w:type="dxa"/>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ascii="宋体" w:hAnsi="宋体"/>
                <w:b/>
                <w:color w:val="000000"/>
                <w:szCs w:val="21"/>
              </w:rPr>
            </w:pPr>
            <w:r>
              <w:rPr>
                <w:rFonts w:hint="eastAsia" w:ascii="宋体" w:hAnsi="宋体"/>
                <w:b/>
                <w:color w:val="000000"/>
                <w:szCs w:val="21"/>
              </w:rPr>
              <w:t>交易手续费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721" w:type="dxa"/>
            <w:vMerge w:val="restart"/>
            <w:tcBorders>
              <w:top w:val="single" w:color="auto" w:sz="4" w:space="0"/>
              <w:left w:val="single" w:color="auto" w:sz="4" w:space="0"/>
              <w:bottom w:val="single" w:color="auto" w:sz="4" w:space="0"/>
              <w:right w:val="single" w:color="auto" w:sz="4" w:space="0"/>
            </w:tcBorders>
            <w:vAlign w:val="center"/>
          </w:tcPr>
          <w:p>
            <w:pPr>
              <w:widowControl/>
              <w:spacing w:afterLines="20"/>
              <w:jc w:val="center"/>
              <w:rPr>
                <w:rFonts w:ascii="宋体" w:hAnsi="宋体"/>
                <w:szCs w:val="21"/>
              </w:rPr>
            </w:pPr>
            <w:r>
              <w:rPr>
                <w:rFonts w:hint="eastAsia" w:ascii="宋体" w:hAnsi="宋体"/>
                <w:szCs w:val="21"/>
              </w:rPr>
              <w:t>资金划拨</w:t>
            </w:r>
          </w:p>
        </w:tc>
        <w:tc>
          <w:tcPr>
            <w:tcW w:w="4239" w:type="dxa"/>
            <w:tcBorders>
              <w:top w:val="single" w:color="auto" w:sz="4" w:space="0"/>
              <w:left w:val="single" w:color="auto" w:sz="4" w:space="0"/>
              <w:bottom w:val="single" w:color="auto" w:sz="4" w:space="0"/>
              <w:right w:val="single" w:color="auto" w:sz="4" w:space="0"/>
            </w:tcBorders>
            <w:vAlign w:val="center"/>
          </w:tcPr>
          <w:p>
            <w:pPr>
              <w:spacing w:afterLines="20"/>
              <w:rPr>
                <w:rFonts w:ascii="宋体" w:hAnsi="宋体"/>
                <w:szCs w:val="21"/>
              </w:rPr>
            </w:pPr>
            <w:r>
              <w:rPr>
                <w:rFonts w:hint="eastAsia" w:ascii="宋体" w:hAnsi="宋体"/>
                <w:szCs w:val="21"/>
              </w:rPr>
              <w:t>资金划拨-B2C</w:t>
            </w:r>
          </w:p>
        </w:tc>
        <w:tc>
          <w:tcPr>
            <w:tcW w:w="2006" w:type="dxa"/>
            <w:tcBorders>
              <w:top w:val="single" w:color="auto" w:sz="4" w:space="0"/>
              <w:left w:val="single" w:color="auto" w:sz="4" w:space="0"/>
              <w:bottom w:val="single" w:color="auto" w:sz="4" w:space="0"/>
              <w:right w:val="single" w:color="auto" w:sz="4" w:space="0"/>
            </w:tcBorders>
            <w:vAlign w:val="center"/>
          </w:tcPr>
          <w:p>
            <w:pPr>
              <w:spacing w:afterLines="20"/>
              <w:ind w:firstLine="210" w:firstLineChars="100"/>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7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4239" w:type="dxa"/>
            <w:tcBorders>
              <w:top w:val="single" w:color="auto" w:sz="4" w:space="0"/>
              <w:left w:val="single" w:color="auto" w:sz="4" w:space="0"/>
              <w:bottom w:val="single" w:color="auto" w:sz="4" w:space="0"/>
              <w:right w:val="single" w:color="auto" w:sz="4" w:space="0"/>
            </w:tcBorders>
            <w:vAlign w:val="center"/>
          </w:tcPr>
          <w:p>
            <w:pPr>
              <w:spacing w:afterLines="20"/>
              <w:rPr>
                <w:rFonts w:ascii="宋体" w:hAnsi="宋体"/>
                <w:szCs w:val="21"/>
              </w:rPr>
            </w:pPr>
            <w:r>
              <w:rPr>
                <w:rFonts w:hint="eastAsia" w:ascii="宋体" w:hAnsi="宋体"/>
                <w:szCs w:val="21"/>
              </w:rPr>
              <w:t xml:space="preserve">资金划拨-B2B </w:t>
            </w:r>
          </w:p>
        </w:tc>
        <w:tc>
          <w:tcPr>
            <w:tcW w:w="2006" w:type="dxa"/>
            <w:tcBorders>
              <w:top w:val="single" w:color="auto" w:sz="4" w:space="0"/>
              <w:left w:val="single" w:color="auto" w:sz="4" w:space="0"/>
              <w:bottom w:val="single" w:color="auto" w:sz="4" w:space="0"/>
              <w:right w:val="single" w:color="auto" w:sz="4" w:space="0"/>
            </w:tcBorders>
            <w:vAlign w:val="center"/>
          </w:tcPr>
          <w:p>
            <w:pPr>
              <w:spacing w:afterLines="20"/>
              <w:ind w:firstLine="210" w:firstLineChars="100"/>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7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4239" w:type="dxa"/>
            <w:tcBorders>
              <w:top w:val="single" w:color="auto" w:sz="4" w:space="0"/>
              <w:left w:val="single" w:color="auto" w:sz="4" w:space="0"/>
              <w:bottom w:val="single" w:color="auto" w:sz="4" w:space="0"/>
              <w:right w:val="single" w:color="auto" w:sz="4" w:space="0"/>
            </w:tcBorders>
            <w:vAlign w:val="center"/>
          </w:tcPr>
          <w:p>
            <w:pPr>
              <w:spacing w:afterLines="20"/>
              <w:rPr>
                <w:rFonts w:ascii="宋体" w:hAnsi="宋体"/>
                <w:szCs w:val="21"/>
              </w:rPr>
            </w:pPr>
            <w:r>
              <w:rPr>
                <w:rFonts w:hint="eastAsia" w:ascii="宋体" w:hAnsi="宋体"/>
                <w:szCs w:val="21"/>
              </w:rPr>
              <w:t>资金划拨-线下打款</w:t>
            </w:r>
          </w:p>
        </w:tc>
        <w:tc>
          <w:tcPr>
            <w:tcW w:w="2006" w:type="dxa"/>
            <w:tcBorders>
              <w:top w:val="single" w:color="auto" w:sz="4" w:space="0"/>
              <w:left w:val="single" w:color="auto" w:sz="4" w:space="0"/>
              <w:bottom w:val="single" w:color="auto" w:sz="4" w:space="0"/>
              <w:right w:val="single" w:color="auto" w:sz="4" w:space="0"/>
            </w:tcBorders>
            <w:vAlign w:val="center"/>
          </w:tcPr>
          <w:p>
            <w:pPr>
              <w:spacing w:afterLines="20"/>
              <w:ind w:firstLine="210" w:firstLineChars="100"/>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721" w:type="dxa"/>
            <w:vMerge w:val="restart"/>
            <w:tcBorders>
              <w:top w:val="single" w:color="auto" w:sz="4" w:space="0"/>
              <w:left w:val="single" w:color="auto" w:sz="4" w:space="0"/>
              <w:bottom w:val="single" w:color="auto" w:sz="4" w:space="0"/>
              <w:right w:val="single" w:color="auto" w:sz="4" w:space="0"/>
            </w:tcBorders>
            <w:vAlign w:val="center"/>
          </w:tcPr>
          <w:p>
            <w:pPr>
              <w:widowControl/>
              <w:spacing w:afterLines="20"/>
              <w:jc w:val="center"/>
              <w:rPr>
                <w:rFonts w:ascii="宋体" w:hAnsi="宋体"/>
                <w:szCs w:val="21"/>
              </w:rPr>
            </w:pPr>
            <w:r>
              <w:rPr>
                <w:rFonts w:hint="eastAsia" w:ascii="宋体" w:hAnsi="宋体"/>
                <w:szCs w:val="21"/>
              </w:rPr>
              <w:t>网银支付</w:t>
            </w:r>
          </w:p>
        </w:tc>
        <w:tc>
          <w:tcPr>
            <w:tcW w:w="4239" w:type="dxa"/>
            <w:tcBorders>
              <w:top w:val="single" w:color="auto" w:sz="4" w:space="0"/>
              <w:left w:val="single" w:color="auto" w:sz="4" w:space="0"/>
              <w:bottom w:val="single" w:color="auto" w:sz="4" w:space="0"/>
              <w:right w:val="single" w:color="auto" w:sz="4" w:space="0"/>
            </w:tcBorders>
            <w:vAlign w:val="center"/>
          </w:tcPr>
          <w:p>
            <w:pPr>
              <w:spacing w:afterLines="20"/>
              <w:rPr>
                <w:rFonts w:ascii="宋体" w:hAnsi="宋体"/>
                <w:szCs w:val="21"/>
              </w:rPr>
            </w:pPr>
            <w:r>
              <w:rPr>
                <w:rFonts w:hint="eastAsia" w:ascii="宋体" w:hAnsi="宋体"/>
                <w:color w:val="000000"/>
                <w:szCs w:val="21"/>
              </w:rPr>
              <w:t>B2C银行卡网银支付</w:t>
            </w:r>
          </w:p>
        </w:tc>
        <w:tc>
          <w:tcPr>
            <w:tcW w:w="2006" w:type="dxa"/>
            <w:tcBorders>
              <w:top w:val="single" w:color="auto" w:sz="4" w:space="0"/>
              <w:left w:val="single" w:color="auto" w:sz="4" w:space="0"/>
              <w:bottom w:val="single" w:color="auto" w:sz="4" w:space="0"/>
              <w:right w:val="single" w:color="auto" w:sz="4" w:space="0"/>
            </w:tcBorders>
            <w:vAlign w:val="center"/>
          </w:tcPr>
          <w:p>
            <w:pPr>
              <w:spacing w:afterLines="20"/>
              <w:ind w:firstLine="210" w:firstLineChars="100"/>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7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4239" w:type="dxa"/>
            <w:tcBorders>
              <w:top w:val="single" w:color="auto" w:sz="4" w:space="0"/>
              <w:left w:val="single" w:color="auto" w:sz="4" w:space="0"/>
              <w:bottom w:val="single" w:color="auto" w:sz="4" w:space="0"/>
              <w:right w:val="single" w:color="auto" w:sz="4" w:space="0"/>
            </w:tcBorders>
            <w:vAlign w:val="center"/>
          </w:tcPr>
          <w:p>
            <w:pPr>
              <w:spacing w:afterLines="20"/>
              <w:rPr>
                <w:rFonts w:ascii="宋体" w:hAnsi="宋体"/>
                <w:szCs w:val="21"/>
              </w:rPr>
            </w:pPr>
            <w:r>
              <w:rPr>
                <w:rFonts w:hint="eastAsia" w:ascii="宋体" w:hAnsi="宋体"/>
                <w:color w:val="000000"/>
                <w:szCs w:val="21"/>
              </w:rPr>
              <w:t>B2B企业网银支付</w:t>
            </w:r>
          </w:p>
        </w:tc>
        <w:tc>
          <w:tcPr>
            <w:tcW w:w="2006" w:type="dxa"/>
            <w:tcBorders>
              <w:top w:val="single" w:color="auto" w:sz="4" w:space="0"/>
              <w:left w:val="single" w:color="auto" w:sz="4" w:space="0"/>
              <w:bottom w:val="single" w:color="auto" w:sz="4" w:space="0"/>
              <w:right w:val="single" w:color="auto" w:sz="4" w:space="0"/>
            </w:tcBorders>
            <w:vAlign w:val="center"/>
          </w:tcPr>
          <w:p>
            <w:pPr>
              <w:spacing w:afterLines="20"/>
              <w:ind w:firstLine="210" w:firstLineChars="100"/>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721" w:type="dxa"/>
            <w:vMerge w:val="restart"/>
            <w:tcBorders>
              <w:top w:val="single" w:color="auto" w:sz="4" w:space="0"/>
              <w:left w:val="single" w:color="auto" w:sz="4" w:space="0"/>
              <w:bottom w:val="single" w:color="auto" w:sz="4" w:space="0"/>
              <w:right w:val="single" w:color="auto" w:sz="4" w:space="0"/>
            </w:tcBorders>
            <w:vAlign w:val="center"/>
          </w:tcPr>
          <w:p>
            <w:pPr>
              <w:widowControl/>
              <w:spacing w:afterLines="20"/>
              <w:jc w:val="center"/>
              <w:rPr>
                <w:rFonts w:ascii="宋体" w:hAnsi="宋体"/>
                <w:szCs w:val="21"/>
              </w:rPr>
            </w:pPr>
            <w:r>
              <w:rPr>
                <w:rFonts w:hint="eastAsia" w:ascii="宋体" w:hAnsi="宋体"/>
                <w:szCs w:val="21"/>
              </w:rPr>
              <w:t>安全认证类服务</w:t>
            </w:r>
          </w:p>
        </w:tc>
        <w:tc>
          <w:tcPr>
            <w:tcW w:w="4239" w:type="dxa"/>
            <w:tcBorders>
              <w:top w:val="single" w:color="auto" w:sz="4" w:space="0"/>
              <w:left w:val="single" w:color="auto" w:sz="4" w:space="0"/>
              <w:bottom w:val="single" w:color="auto" w:sz="4" w:space="0"/>
              <w:right w:val="single" w:color="auto" w:sz="4" w:space="0"/>
            </w:tcBorders>
            <w:vAlign w:val="center"/>
          </w:tcPr>
          <w:p>
            <w:pPr>
              <w:spacing w:afterLines="20"/>
              <w:rPr>
                <w:rFonts w:ascii="宋体" w:hAnsi="宋体"/>
                <w:szCs w:val="21"/>
              </w:rPr>
            </w:pPr>
            <w:r>
              <w:rPr>
                <w:rFonts w:hint="eastAsia" w:ascii="宋体" w:hAnsi="宋体"/>
                <w:szCs w:val="21"/>
              </w:rPr>
              <w:t>身份证二要素认证（不返回照片）</w:t>
            </w:r>
          </w:p>
        </w:tc>
        <w:tc>
          <w:tcPr>
            <w:tcW w:w="2006" w:type="dxa"/>
            <w:tcBorders>
              <w:top w:val="single" w:color="auto" w:sz="4" w:space="0"/>
              <w:left w:val="single" w:color="auto" w:sz="4" w:space="0"/>
              <w:bottom w:val="single" w:color="auto" w:sz="4" w:space="0"/>
              <w:right w:val="single" w:color="auto" w:sz="4" w:space="0"/>
            </w:tcBorders>
            <w:vAlign w:val="center"/>
          </w:tcPr>
          <w:p>
            <w:pPr>
              <w:spacing w:afterLines="20"/>
              <w:ind w:firstLine="210" w:firstLineChars="100"/>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7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4239" w:type="dxa"/>
            <w:tcBorders>
              <w:top w:val="single" w:color="auto" w:sz="4" w:space="0"/>
              <w:left w:val="single" w:color="auto" w:sz="4" w:space="0"/>
              <w:bottom w:val="single" w:color="auto" w:sz="4" w:space="0"/>
              <w:right w:val="single" w:color="auto" w:sz="4" w:space="0"/>
            </w:tcBorders>
            <w:vAlign w:val="center"/>
          </w:tcPr>
          <w:p>
            <w:pPr>
              <w:spacing w:afterLines="20"/>
              <w:rPr>
                <w:rFonts w:ascii="宋体" w:hAnsi="宋体"/>
                <w:szCs w:val="21"/>
              </w:rPr>
            </w:pPr>
            <w:r>
              <w:rPr>
                <w:rFonts w:hint="eastAsia" w:ascii="宋体" w:hAnsi="宋体"/>
                <w:szCs w:val="21"/>
              </w:rPr>
              <w:t>身份证二要素认证（返回照片）</w:t>
            </w:r>
          </w:p>
        </w:tc>
        <w:tc>
          <w:tcPr>
            <w:tcW w:w="2006" w:type="dxa"/>
            <w:tcBorders>
              <w:top w:val="single" w:color="auto" w:sz="4" w:space="0"/>
              <w:left w:val="single" w:color="auto" w:sz="4" w:space="0"/>
              <w:bottom w:val="single" w:color="auto" w:sz="4" w:space="0"/>
              <w:right w:val="single" w:color="auto" w:sz="4" w:space="0"/>
            </w:tcBorders>
            <w:vAlign w:val="center"/>
          </w:tcPr>
          <w:p>
            <w:pPr>
              <w:spacing w:afterLines="20"/>
              <w:ind w:firstLine="210" w:firstLineChars="100"/>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7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4239" w:type="dxa"/>
            <w:tcBorders>
              <w:top w:val="single" w:color="auto" w:sz="4" w:space="0"/>
              <w:left w:val="single" w:color="auto" w:sz="4" w:space="0"/>
              <w:bottom w:val="single" w:color="auto" w:sz="4" w:space="0"/>
              <w:right w:val="single" w:color="auto" w:sz="4" w:space="0"/>
            </w:tcBorders>
            <w:vAlign w:val="center"/>
          </w:tcPr>
          <w:p>
            <w:pPr>
              <w:spacing w:afterLines="20"/>
              <w:rPr>
                <w:rFonts w:ascii="宋体" w:hAnsi="宋体"/>
                <w:szCs w:val="21"/>
              </w:rPr>
            </w:pPr>
            <w:r>
              <w:rPr>
                <w:rFonts w:hint="eastAsia" w:ascii="宋体" w:hAnsi="宋体"/>
                <w:szCs w:val="21"/>
              </w:rPr>
              <w:t>银行卡二要素认证</w:t>
            </w:r>
          </w:p>
        </w:tc>
        <w:tc>
          <w:tcPr>
            <w:tcW w:w="2006" w:type="dxa"/>
            <w:tcBorders>
              <w:top w:val="single" w:color="auto" w:sz="4" w:space="0"/>
              <w:left w:val="single" w:color="auto" w:sz="4" w:space="0"/>
              <w:bottom w:val="single" w:color="auto" w:sz="4" w:space="0"/>
              <w:right w:val="single" w:color="auto" w:sz="4" w:space="0"/>
            </w:tcBorders>
            <w:vAlign w:val="center"/>
          </w:tcPr>
          <w:p>
            <w:pPr>
              <w:spacing w:afterLines="20"/>
              <w:ind w:firstLine="210" w:firstLineChars="100"/>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7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4239" w:type="dxa"/>
            <w:tcBorders>
              <w:top w:val="single" w:color="auto" w:sz="4" w:space="0"/>
              <w:left w:val="single" w:color="auto" w:sz="4" w:space="0"/>
              <w:bottom w:val="single" w:color="auto" w:sz="4" w:space="0"/>
              <w:right w:val="single" w:color="auto" w:sz="4" w:space="0"/>
            </w:tcBorders>
            <w:vAlign w:val="center"/>
          </w:tcPr>
          <w:p>
            <w:pPr>
              <w:spacing w:afterLines="20"/>
              <w:rPr>
                <w:rFonts w:ascii="宋体" w:hAnsi="宋体"/>
                <w:szCs w:val="21"/>
              </w:rPr>
            </w:pPr>
            <w:r>
              <w:rPr>
                <w:rFonts w:hint="eastAsia" w:ascii="宋体" w:hAnsi="宋体"/>
                <w:szCs w:val="21"/>
              </w:rPr>
              <w:t>银行卡三要素认证</w:t>
            </w:r>
          </w:p>
        </w:tc>
        <w:tc>
          <w:tcPr>
            <w:tcW w:w="2006" w:type="dxa"/>
            <w:tcBorders>
              <w:top w:val="single" w:color="auto" w:sz="4" w:space="0"/>
              <w:left w:val="single" w:color="auto" w:sz="4" w:space="0"/>
              <w:bottom w:val="single" w:color="auto" w:sz="4" w:space="0"/>
              <w:right w:val="single" w:color="auto" w:sz="4" w:space="0"/>
            </w:tcBorders>
            <w:vAlign w:val="center"/>
          </w:tcPr>
          <w:p>
            <w:pPr>
              <w:spacing w:afterLines="20"/>
              <w:ind w:firstLine="210" w:firstLineChars="100"/>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7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4239" w:type="dxa"/>
            <w:tcBorders>
              <w:top w:val="single" w:color="auto" w:sz="4" w:space="0"/>
              <w:left w:val="single" w:color="auto" w:sz="4" w:space="0"/>
              <w:bottom w:val="single" w:color="auto" w:sz="4" w:space="0"/>
              <w:right w:val="single" w:color="auto" w:sz="4" w:space="0"/>
            </w:tcBorders>
            <w:vAlign w:val="center"/>
          </w:tcPr>
          <w:p>
            <w:pPr>
              <w:spacing w:afterLines="20"/>
              <w:rPr>
                <w:rFonts w:ascii="宋体" w:hAnsi="宋体"/>
                <w:szCs w:val="21"/>
              </w:rPr>
            </w:pPr>
            <w:r>
              <w:rPr>
                <w:rFonts w:hint="eastAsia" w:ascii="宋体" w:hAnsi="宋体"/>
                <w:szCs w:val="21"/>
              </w:rPr>
              <w:t>银行卡四要素认证</w:t>
            </w:r>
          </w:p>
        </w:tc>
        <w:tc>
          <w:tcPr>
            <w:tcW w:w="2006" w:type="dxa"/>
            <w:tcBorders>
              <w:top w:val="single" w:color="auto" w:sz="4" w:space="0"/>
              <w:left w:val="single" w:color="auto" w:sz="4" w:space="0"/>
              <w:bottom w:val="single" w:color="auto" w:sz="4" w:space="0"/>
              <w:right w:val="single" w:color="auto" w:sz="4" w:space="0"/>
            </w:tcBorders>
            <w:vAlign w:val="center"/>
          </w:tcPr>
          <w:p>
            <w:pPr>
              <w:spacing w:afterLines="20"/>
              <w:ind w:firstLine="210" w:firstLineChars="100"/>
              <w:jc w:val="cente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7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4239" w:type="dxa"/>
            <w:tcBorders>
              <w:top w:val="single" w:color="auto" w:sz="4" w:space="0"/>
              <w:left w:val="single" w:color="auto" w:sz="4" w:space="0"/>
              <w:bottom w:val="single" w:color="auto" w:sz="4" w:space="0"/>
              <w:right w:val="single" w:color="auto" w:sz="4" w:space="0"/>
            </w:tcBorders>
            <w:vAlign w:val="center"/>
          </w:tcPr>
          <w:p>
            <w:pPr>
              <w:spacing w:afterLines="20"/>
              <w:rPr>
                <w:rFonts w:ascii="宋体" w:hAnsi="宋体"/>
                <w:szCs w:val="21"/>
              </w:rPr>
            </w:pPr>
            <w:r>
              <w:rPr>
                <w:rFonts w:hint="eastAsia" w:ascii="宋体" w:hAnsi="宋体"/>
                <w:szCs w:val="21"/>
              </w:rPr>
              <w:t>银行卡四要素（短信版）认证</w:t>
            </w:r>
          </w:p>
        </w:tc>
        <w:tc>
          <w:tcPr>
            <w:tcW w:w="2006" w:type="dxa"/>
            <w:tcBorders>
              <w:top w:val="single" w:color="auto" w:sz="4" w:space="0"/>
              <w:left w:val="single" w:color="auto" w:sz="4" w:space="0"/>
              <w:bottom w:val="single" w:color="auto" w:sz="4" w:space="0"/>
              <w:right w:val="single" w:color="auto" w:sz="4" w:space="0"/>
            </w:tcBorders>
            <w:vAlign w:val="center"/>
          </w:tcPr>
          <w:p>
            <w:pPr>
              <w:spacing w:afterLines="20"/>
              <w:ind w:firstLine="210" w:firstLineChars="100"/>
              <w:jc w:val="center"/>
              <w:rPr>
                <w:rFonts w:ascii="宋体" w:hAnsi="宋体"/>
                <w:szCs w:val="21"/>
              </w:rPr>
            </w:pPr>
            <w:r>
              <w:rPr>
                <w:rFonts w:hint="eastAsia" w:ascii="宋体" w:hAnsi="宋体"/>
                <w:szCs w:val="21"/>
              </w:rPr>
              <w:t>/</w:t>
            </w:r>
          </w:p>
        </w:tc>
      </w:tr>
    </w:tbl>
    <w:p>
      <w:pPr>
        <w:pStyle w:val="19"/>
        <w:numPr>
          <w:ilvl w:val="0"/>
          <w:numId w:val="2"/>
        </w:numPr>
        <w:spacing w:beforeLines="100"/>
        <w:ind w:firstLineChars="0"/>
        <w:rPr>
          <w:rFonts w:ascii="宋体" w:hAnsi="宋体"/>
          <w:b/>
          <w:color w:val="000000"/>
          <w:szCs w:val="21"/>
        </w:rPr>
      </w:pPr>
      <w:r>
        <w:rPr>
          <w:rFonts w:hint="eastAsia" w:ascii="宋体" w:hAnsi="宋体"/>
          <w:b/>
          <w:szCs w:val="21"/>
        </w:rPr>
        <w:t>资金划拨-线下打款服务特别条款</w:t>
      </w:r>
    </w:p>
    <w:p>
      <w:pPr>
        <w:spacing w:beforeLines="50"/>
        <w:ind w:left="420" w:hanging="420" w:hangingChars="200"/>
        <w:rPr>
          <w:rFonts w:ascii="宋体" w:hAnsi="宋体"/>
          <w:color w:val="000000"/>
          <w:szCs w:val="21"/>
        </w:rPr>
      </w:pPr>
      <w:r>
        <w:rPr>
          <w:rFonts w:hint="eastAsia" w:ascii="宋体" w:hAnsi="宋体"/>
          <w:color w:val="000000"/>
          <w:szCs w:val="21"/>
        </w:rPr>
        <w:t>3.1如甲方选择本协议第二条约定的“资金划拨-线下打款”服务，除遵守本协议相关约定外，还需遵守“第三条 资金划拨-线下打款服务特别条款”约定的全部内容。</w:t>
      </w:r>
    </w:p>
    <w:p>
      <w:pPr>
        <w:numPr>
          <w:ilvl w:val="1"/>
          <w:numId w:val="3"/>
        </w:numPr>
        <w:spacing w:beforeLines="50"/>
        <w:rPr>
          <w:rFonts w:ascii="宋体" w:hAnsi="宋体"/>
          <w:color w:val="000000"/>
          <w:szCs w:val="21"/>
        </w:rPr>
      </w:pPr>
      <w:r>
        <w:rPr>
          <w:rFonts w:hint="eastAsia" w:ascii="宋体" w:hAnsi="宋体"/>
          <w:color w:val="000000"/>
          <w:szCs w:val="21"/>
          <w:highlight w:val="yellow"/>
        </w:rPr>
        <w:t>甲方出于</w:t>
      </w:r>
      <w:r>
        <w:rPr>
          <w:rFonts w:hint="eastAsia" w:ascii="宋体" w:hAnsi="宋体"/>
          <w:color w:val="000000"/>
          <w:szCs w:val="21"/>
          <w:highlight w:val="yellow"/>
          <w:u w:val="single"/>
        </w:rPr>
        <w:t>/</w:t>
      </w:r>
      <w:r>
        <w:rPr>
          <w:rFonts w:hint="eastAsia" w:ascii="宋体" w:hAnsi="宋体"/>
          <w:color w:val="000000"/>
          <w:szCs w:val="21"/>
          <w:highlight w:val="yellow"/>
        </w:rPr>
        <w:t>原因，</w:t>
      </w:r>
      <w:r>
        <w:rPr>
          <w:rFonts w:hint="eastAsia" w:ascii="宋体" w:hAnsi="宋体"/>
          <w:color w:val="000000"/>
          <w:szCs w:val="21"/>
        </w:rPr>
        <w:t>需要以线下银行转账方式向宝付账号划拨，乙方通过B2B企业网银划拨形式将甲方转账金额划拨入账，甲方银行转账费用自行承担，乙方按照本协议约定逐笔收取划拨手续费。</w:t>
      </w:r>
    </w:p>
    <w:p>
      <w:pPr>
        <w:numPr>
          <w:ilvl w:val="1"/>
          <w:numId w:val="3"/>
        </w:numPr>
        <w:spacing w:beforeLines="50"/>
        <w:rPr>
          <w:rFonts w:ascii="宋体" w:hAnsi="宋体"/>
          <w:color w:val="000000"/>
          <w:szCs w:val="21"/>
        </w:rPr>
      </w:pPr>
      <w:r>
        <w:rPr>
          <w:rFonts w:hint="eastAsia" w:ascii="宋体" w:hAnsi="宋体"/>
        </w:rPr>
        <w:t>甲方承诺，按照本协议约定用途使用线下打款划拨资金。如乙方发现甲方用途与约定不符的，乙方有权在通知甲方后暂停甲方本产品的使用。甲方如需添加付款银行账户，应先行通过宝付商户后台自行添加付款银行信息。</w:t>
      </w:r>
      <w:r>
        <w:rPr>
          <w:rFonts w:hint="eastAsia" w:ascii="宋体" w:hAnsi="宋体"/>
          <w:color w:val="000000"/>
          <w:szCs w:val="21"/>
        </w:rPr>
        <w:t>如因甲方未依照本协议约定方式操作付款或通知，而导致乙方未能为甲方做划拨操作的，由甲方自行承担由此引发的一切后果及法律责任。</w:t>
      </w:r>
    </w:p>
    <w:p>
      <w:pPr>
        <w:spacing w:beforeLines="50"/>
        <w:rPr>
          <w:rFonts w:ascii="宋体" w:hAnsi="宋体"/>
          <w:color w:val="000000"/>
          <w:szCs w:val="21"/>
          <w:highlight w:val="yellow"/>
        </w:rPr>
      </w:pPr>
      <w:r>
        <w:rPr>
          <w:rFonts w:hint="eastAsia" w:ascii="宋体" w:hAnsi="宋体"/>
          <w:color w:val="000000"/>
          <w:szCs w:val="21"/>
          <w:highlight w:val="yellow"/>
        </w:rPr>
        <w:t>3.4乙方收</w:t>
      </w:r>
      <w:r>
        <w:rPr>
          <w:rFonts w:hint="eastAsia" w:ascii="宋体" w:hAnsi="宋体"/>
          <w:color w:val="000000"/>
          <w:szCs w:val="21"/>
          <w:highlight w:val="yellow"/>
        </w:rPr>
        <w:drawing>
          <wp:anchor distT="0" distB="0" distL="114300" distR="114300" simplePos="0" relativeHeight="251702272" behindDoc="1" locked="0" layoutInCell="1" allowOverlap="1">
            <wp:simplePos x="0" y="0"/>
            <wp:positionH relativeFrom="column">
              <wp:posOffset>-39370</wp:posOffset>
            </wp:positionH>
            <wp:positionV relativeFrom="paragraph">
              <wp:posOffset>283210</wp:posOffset>
            </wp:positionV>
            <wp:extent cx="5267960" cy="7456805"/>
            <wp:effectExtent l="0" t="0" r="0" b="0"/>
            <wp:wrapNone/>
            <wp:docPr id="14" name="图片 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descr="水印"/>
                    <pic:cNvPicPr>
                      <a:picLocks noChangeAspect="1"/>
                    </pic:cNvPicPr>
                  </pic:nvPicPr>
                  <pic:blipFill>
                    <a:blip r:embed="rId7"/>
                    <a:stretch>
                      <a:fillRect/>
                    </a:stretch>
                  </pic:blipFill>
                  <pic:spPr>
                    <a:xfrm>
                      <a:off x="0" y="0"/>
                      <a:ext cx="5267960" cy="7456805"/>
                    </a:xfrm>
                    <a:prstGeom prst="rect">
                      <a:avLst/>
                    </a:prstGeom>
                    <a:noFill/>
                    <a:ln w="9525">
                      <a:noFill/>
                    </a:ln>
                  </pic:spPr>
                </pic:pic>
              </a:graphicData>
            </a:graphic>
          </wp:anchor>
        </w:drawing>
      </w:r>
      <w:r>
        <w:rPr>
          <w:rFonts w:hint="eastAsia" w:ascii="宋体" w:hAnsi="宋体"/>
          <w:color w:val="000000"/>
          <w:szCs w:val="21"/>
          <w:highlight w:val="yellow"/>
        </w:rPr>
        <w:t>取甲方银行转账的收款银行账户信息如下：</w:t>
      </w:r>
    </w:p>
    <w:p>
      <w:pPr>
        <w:spacing w:beforeLines="50"/>
        <w:ind w:firstLine="420" w:firstLineChars="200"/>
        <w:rPr>
          <w:rFonts w:ascii="宋体" w:hAnsi="宋体"/>
          <w:color w:val="000000"/>
          <w:szCs w:val="21"/>
        </w:rPr>
      </w:pPr>
      <w:r>
        <w:rPr>
          <w:rFonts w:hint="eastAsia" w:ascii="宋体" w:hAnsi="宋体"/>
          <w:color w:val="000000"/>
          <w:szCs w:val="21"/>
        </w:rPr>
        <w:t>账户名称：/</w:t>
      </w:r>
    </w:p>
    <w:p>
      <w:pPr>
        <w:spacing w:beforeLines="50"/>
        <w:rPr>
          <w:rFonts w:ascii="宋体" w:hAnsi="宋体"/>
          <w:color w:val="000000"/>
          <w:szCs w:val="21"/>
        </w:rPr>
      </w:pPr>
      <w:r>
        <w:rPr>
          <w:rFonts w:hint="eastAsia" w:ascii="宋体" w:hAnsi="宋体"/>
          <w:color w:val="000000"/>
          <w:szCs w:val="21"/>
        </w:rPr>
        <w:t>   开户银行：/</w:t>
      </w:r>
    </w:p>
    <w:p>
      <w:pPr>
        <w:spacing w:beforeLines="50"/>
        <w:ind w:firstLine="420" w:firstLineChars="200"/>
        <w:rPr>
          <w:rFonts w:ascii="宋体" w:hAnsi="宋体"/>
          <w:color w:val="000000"/>
          <w:szCs w:val="21"/>
        </w:rPr>
      </w:pPr>
      <w:r>
        <w:rPr>
          <w:rFonts w:hint="eastAsia" w:ascii="宋体" w:hAnsi="宋体"/>
          <w:color w:val="000000"/>
          <w:szCs w:val="21"/>
        </w:rPr>
        <w:t>账号：/</w:t>
      </w:r>
    </w:p>
    <w:p>
      <w:pPr>
        <w:pStyle w:val="19"/>
        <w:numPr>
          <w:ilvl w:val="0"/>
          <w:numId w:val="2"/>
        </w:numPr>
        <w:spacing w:beforeLines="100"/>
        <w:ind w:firstLineChars="0"/>
        <w:rPr>
          <w:rFonts w:ascii="宋体" w:hAnsi="宋体"/>
          <w:b/>
          <w:szCs w:val="21"/>
        </w:rPr>
      </w:pPr>
      <w:r>
        <w:rPr>
          <w:rFonts w:hint="eastAsia" w:ascii="宋体" w:hAnsi="宋体"/>
          <w:b/>
          <w:szCs w:val="21"/>
        </w:rPr>
        <w:t>安全认证类服务特别条款</w:t>
      </w:r>
    </w:p>
    <w:p>
      <w:pPr>
        <w:numPr>
          <w:ilvl w:val="1"/>
          <w:numId w:val="4"/>
        </w:numPr>
        <w:tabs>
          <w:tab w:val="left" w:pos="0"/>
        </w:tabs>
        <w:spacing w:beforeLines="50"/>
        <w:rPr>
          <w:rFonts w:ascii="宋体" w:hAnsi="宋体"/>
          <w:color w:val="000000"/>
          <w:szCs w:val="21"/>
        </w:rPr>
      </w:pPr>
      <w:r>
        <w:rPr>
          <w:rFonts w:hint="eastAsia" w:ascii="宋体" w:hAnsi="宋体"/>
          <w:color w:val="000000"/>
          <w:szCs w:val="21"/>
        </w:rPr>
        <w:t>如甲方选择本协议第二条约定的“安全认证类服务”，除遵守本协议相关约定外，还需遵守“第四条 安全认证类服务特别条款”约定的全部内容。</w:t>
      </w:r>
    </w:p>
    <w:p>
      <w:pPr>
        <w:numPr>
          <w:ilvl w:val="1"/>
          <w:numId w:val="4"/>
        </w:numPr>
        <w:tabs>
          <w:tab w:val="left" w:pos="0"/>
        </w:tabs>
        <w:spacing w:beforeLines="50"/>
        <w:rPr>
          <w:rFonts w:ascii="宋体" w:hAnsi="宋体"/>
          <w:color w:val="000000"/>
          <w:szCs w:val="21"/>
        </w:rPr>
      </w:pPr>
      <w:r>
        <w:rPr>
          <w:rFonts w:hint="eastAsia" w:ascii="宋体" w:hAnsi="宋体"/>
          <w:color w:val="000000"/>
          <w:szCs w:val="21"/>
        </w:rPr>
        <w:t>甲方承诺所查验的信息和/或数据系合法渠道取得，且查验该等信息和/或数据的行为已获得被查验人有效授权。</w:t>
      </w:r>
    </w:p>
    <w:p>
      <w:pPr>
        <w:numPr>
          <w:ilvl w:val="1"/>
          <w:numId w:val="4"/>
        </w:numPr>
        <w:tabs>
          <w:tab w:val="left" w:pos="426"/>
        </w:tabs>
        <w:spacing w:beforeLines="50"/>
        <w:rPr>
          <w:rFonts w:ascii="宋体" w:hAnsi="宋体"/>
          <w:color w:val="000000"/>
          <w:szCs w:val="21"/>
        </w:rPr>
      </w:pPr>
      <w:r>
        <w:rPr>
          <w:rFonts w:hint="eastAsia" w:ascii="宋体" w:hAnsi="宋体"/>
          <w:color w:val="000000"/>
          <w:szCs w:val="21"/>
        </w:rPr>
        <w:t>甲方内部使用所查验的信息和/或数据的过程中，不得提供或展示给除信息被查验人本人之外的任何第三方，甲方承担因违反上述约定或非法使用乙方提供的本协议项下的服务所产生的一切后果和责任，乙方不承担任何责任。</w:t>
      </w:r>
    </w:p>
    <w:p>
      <w:pPr>
        <w:numPr>
          <w:ilvl w:val="1"/>
          <w:numId w:val="4"/>
        </w:numPr>
        <w:tabs>
          <w:tab w:val="left" w:pos="426"/>
        </w:tabs>
        <w:spacing w:beforeLines="50"/>
        <w:rPr>
          <w:rFonts w:ascii="宋体" w:hAnsi="宋体"/>
          <w:color w:val="000000"/>
          <w:szCs w:val="21"/>
        </w:rPr>
      </w:pPr>
      <w:r>
        <w:rPr>
          <w:rFonts w:hint="eastAsia" w:ascii="宋体" w:hAnsi="宋体"/>
          <w:color w:val="000000"/>
          <w:szCs w:val="21"/>
        </w:rPr>
        <w:t>乙方承诺收到甲方待查验信息后能如实将数据提交权威数据源进行比对，并保证返回结果与权威数据源比对结果一致。乙方如违反前述承诺，由此造成的损失由乙方承担，但乙方不承担因权威数据源查验结果错误产生的损失。</w:t>
      </w:r>
    </w:p>
    <w:p>
      <w:pPr>
        <w:tabs>
          <w:tab w:val="left" w:pos="426"/>
        </w:tabs>
        <w:spacing w:beforeLines="50"/>
        <w:rPr>
          <w:rFonts w:ascii="宋体" w:hAnsi="宋体"/>
          <w:szCs w:val="21"/>
        </w:rPr>
      </w:pPr>
    </w:p>
    <w:p>
      <w:pPr>
        <w:tabs>
          <w:tab w:val="left" w:pos="426"/>
        </w:tabs>
        <w:spacing w:beforeLines="100" w:line="276" w:lineRule="auto"/>
        <w:rPr>
          <w:rFonts w:ascii="宋体" w:hAnsi="宋体"/>
          <w:szCs w:val="21"/>
        </w:rPr>
      </w:pPr>
    </w:p>
    <w:p>
      <w:pPr>
        <w:tabs>
          <w:tab w:val="left" w:pos="426"/>
        </w:tabs>
        <w:spacing w:beforeLines="100" w:line="276" w:lineRule="auto"/>
        <w:rPr>
          <w:rFonts w:ascii="宋体" w:hAnsi="宋体"/>
          <w:szCs w:val="21"/>
        </w:rPr>
      </w:pPr>
    </w:p>
    <w:p>
      <w:pPr>
        <w:tabs>
          <w:tab w:val="left" w:pos="426"/>
        </w:tabs>
        <w:spacing w:beforeLines="100" w:line="276" w:lineRule="auto"/>
        <w:rPr>
          <w:rFonts w:ascii="宋体" w:hAnsi="宋体"/>
          <w:szCs w:val="21"/>
        </w:rPr>
      </w:pPr>
    </w:p>
    <w:p>
      <w:pPr>
        <w:tabs>
          <w:tab w:val="left" w:pos="426"/>
        </w:tabs>
        <w:spacing w:beforeLines="100" w:line="276" w:lineRule="auto"/>
        <w:rPr>
          <w:rFonts w:ascii="宋体" w:hAnsi="宋体"/>
          <w:szCs w:val="21"/>
        </w:rPr>
      </w:pPr>
    </w:p>
    <w:p>
      <w:pPr>
        <w:tabs>
          <w:tab w:val="left" w:pos="426"/>
        </w:tabs>
        <w:spacing w:beforeLines="100" w:line="276" w:lineRule="auto"/>
        <w:rPr>
          <w:rFonts w:ascii="宋体" w:hAnsi="宋体"/>
          <w:szCs w:val="21"/>
        </w:rPr>
      </w:pPr>
    </w:p>
    <w:p>
      <w:pPr>
        <w:tabs>
          <w:tab w:val="left" w:pos="426"/>
        </w:tabs>
        <w:spacing w:beforeLines="100" w:line="276" w:lineRule="auto"/>
        <w:rPr>
          <w:rFonts w:ascii="宋体" w:hAnsi="宋体"/>
          <w:szCs w:val="21"/>
        </w:rPr>
      </w:pPr>
    </w:p>
    <w:p>
      <w:pPr>
        <w:tabs>
          <w:tab w:val="left" w:pos="426"/>
        </w:tabs>
        <w:spacing w:beforeLines="100" w:line="276" w:lineRule="auto"/>
        <w:rPr>
          <w:rFonts w:ascii="宋体" w:hAnsi="宋体"/>
          <w:szCs w:val="21"/>
        </w:rPr>
      </w:pPr>
    </w:p>
    <w:p>
      <w:pPr>
        <w:tabs>
          <w:tab w:val="left" w:pos="426"/>
        </w:tabs>
        <w:spacing w:beforeLines="100" w:line="276" w:lineRule="auto"/>
        <w:rPr>
          <w:rFonts w:ascii="宋体" w:hAnsi="宋体"/>
          <w:szCs w:val="21"/>
        </w:rPr>
      </w:pPr>
    </w:p>
    <w:p>
      <w:pPr>
        <w:tabs>
          <w:tab w:val="left" w:pos="426"/>
        </w:tabs>
        <w:spacing w:beforeLines="100" w:line="276" w:lineRule="auto"/>
        <w:rPr>
          <w:rFonts w:ascii="宋体" w:hAnsi="宋体"/>
          <w:szCs w:val="21"/>
        </w:rPr>
      </w:pPr>
    </w:p>
    <w:p>
      <w:pPr>
        <w:widowControl/>
        <w:jc w:val="left"/>
        <w:rPr>
          <w:rFonts w:ascii="宋体" w:hAnsi="宋体"/>
          <w:kern w:val="0"/>
          <w:szCs w:val="21"/>
        </w:rPr>
      </w:pPr>
      <w:r>
        <w:rPr>
          <w:rFonts w:ascii="宋体" w:hAnsi="宋体"/>
          <w:kern w:val="0"/>
          <w:szCs w:val="21"/>
        </w:rPr>
        <w:br w:type="page"/>
      </w:r>
    </w:p>
    <w:p>
      <w:pPr>
        <w:spacing w:beforeLines="50"/>
        <w:rPr>
          <w:b/>
          <w:kern w:val="0"/>
        </w:rPr>
      </w:pPr>
      <w:r>
        <w:rPr>
          <w:b/>
          <w:kern w:val="0"/>
        </w:rPr>
        <w:t>附件</w:t>
      </w:r>
      <w:r>
        <w:rPr>
          <w:rFonts w:hint="eastAsia"/>
          <w:b/>
          <w:kern w:val="0"/>
        </w:rPr>
        <w:t>二                             代付服务协议</w:t>
      </w:r>
    </w:p>
    <w:p>
      <w:pPr>
        <w:adjustRightInd w:val="0"/>
        <w:snapToGrid w:val="0"/>
        <w:spacing w:beforeLines="50" w:line="276" w:lineRule="auto"/>
        <w:rPr>
          <w:rFonts w:ascii="宋体" w:hAnsi="宋体"/>
          <w:b/>
          <w:szCs w:val="21"/>
        </w:rPr>
      </w:pPr>
      <w:r>
        <w:rPr>
          <w:rFonts w:hint="eastAsia" w:ascii="宋体" w:hAnsi="宋体"/>
          <w:b/>
          <w:szCs w:val="21"/>
        </w:rPr>
        <w:t>一、合作内容</w:t>
      </w:r>
    </w:p>
    <w:p>
      <w:pPr>
        <w:adjustRightInd w:val="0"/>
        <w:snapToGrid w:val="0"/>
        <w:spacing w:beforeLines="50" w:line="276" w:lineRule="auto"/>
        <w:ind w:left="420" w:hanging="420" w:hangingChars="200"/>
        <w:rPr>
          <w:rFonts w:ascii="宋体" w:hAnsi="宋体"/>
          <w:szCs w:val="21"/>
        </w:rPr>
      </w:pPr>
      <w:r>
        <w:rPr>
          <w:rFonts w:hint="eastAsia" w:ascii="宋体" w:hAnsi="宋体"/>
          <w:color w:val="000000"/>
          <w:szCs w:val="21"/>
        </w:rPr>
        <w:t>1.1 定义：</w:t>
      </w:r>
      <w:r>
        <w:rPr>
          <w:rFonts w:hint="eastAsia" w:ascii="宋体" w:hAnsi="宋体"/>
          <w:szCs w:val="21"/>
        </w:rPr>
        <w:t>代付是指基于乙方代付系统，甲方向乙方提交代付交易指令，乙方通过代付系统，将相应代付金向甲方指定的企业或个人银行账户进行转账付款的业务。</w:t>
      </w:r>
    </w:p>
    <w:p>
      <w:pPr>
        <w:adjustRightInd w:val="0"/>
        <w:snapToGrid w:val="0"/>
        <w:spacing w:beforeLines="50" w:line="276" w:lineRule="auto"/>
        <w:ind w:left="420" w:hanging="420" w:hangingChars="200"/>
        <w:rPr>
          <w:rFonts w:ascii="宋体" w:hAnsi="宋体"/>
          <w:szCs w:val="21"/>
        </w:rPr>
      </w:pPr>
      <w:r>
        <w:rPr>
          <w:rFonts w:hint="eastAsia" w:ascii="宋体" w:hAnsi="宋体"/>
          <w:szCs w:val="21"/>
        </w:rPr>
        <w:t>1.2代付流程</w:t>
      </w:r>
      <w:r>
        <w:rPr>
          <w:rFonts w:hint="eastAsia" w:ascii="宋体" w:hAnsi="宋体"/>
          <w:szCs w:val="21"/>
        </w:rPr>
        <w:drawing>
          <wp:anchor distT="0" distB="0" distL="114300" distR="114300" simplePos="0" relativeHeight="251706368" behindDoc="1" locked="0" layoutInCell="1" allowOverlap="1">
            <wp:simplePos x="0" y="0"/>
            <wp:positionH relativeFrom="column">
              <wp:posOffset>-39370</wp:posOffset>
            </wp:positionH>
            <wp:positionV relativeFrom="paragraph">
              <wp:posOffset>-313055</wp:posOffset>
            </wp:positionV>
            <wp:extent cx="5267960" cy="7456805"/>
            <wp:effectExtent l="0" t="0" r="0" b="0"/>
            <wp:wrapNone/>
            <wp:docPr id="15" name="图片 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descr="水印"/>
                    <pic:cNvPicPr>
                      <a:picLocks noChangeAspect="1"/>
                    </pic:cNvPicPr>
                  </pic:nvPicPr>
                  <pic:blipFill>
                    <a:blip r:embed="rId7"/>
                    <a:stretch>
                      <a:fillRect/>
                    </a:stretch>
                  </pic:blipFill>
                  <pic:spPr>
                    <a:xfrm>
                      <a:off x="0" y="0"/>
                      <a:ext cx="5267960" cy="7456805"/>
                    </a:xfrm>
                    <a:prstGeom prst="rect">
                      <a:avLst/>
                    </a:prstGeom>
                    <a:noFill/>
                    <a:ln w="9525">
                      <a:noFill/>
                    </a:ln>
                  </pic:spPr>
                </pic:pic>
              </a:graphicData>
            </a:graphic>
          </wp:anchor>
        </w:drawing>
      </w:r>
      <w:r>
        <w:rPr>
          <w:rFonts w:hint="eastAsia" w:ascii="宋体" w:hAnsi="宋体"/>
          <w:szCs w:val="21"/>
        </w:rPr>
        <w:t>：甲方将代付资金划拨指令和该笔代付资金所对应的代付指令通过乙方的系统接口同时提交至乙方，乙方验证确认甲方的代付资金的金额大于等于代付指令中的金额与预估交易手续费之和时，甲方可将代付资金划拨至乙方在银行开立的客户备付金账户。如前述验证结果为甲方的代付资金的金额小于代付指令中的金额与预估交易手续费之和，则甲方需修改代付资金或代付指令直至通过乙方的前述验证，否则甲方无法完成代付资金的划拨。乙方在备付金账户收到甲方划拨的代付资金的当日，直接按照甲方的代付指令完成代付，无需经过甲方再次确认。</w:t>
      </w:r>
    </w:p>
    <w:p>
      <w:pPr>
        <w:adjustRightInd w:val="0"/>
        <w:snapToGrid w:val="0"/>
        <w:spacing w:beforeLines="50" w:line="276" w:lineRule="auto"/>
        <w:ind w:left="420" w:hanging="420" w:hangingChars="200"/>
        <w:rPr>
          <w:rFonts w:ascii="宋体" w:hAnsi="宋体"/>
          <w:szCs w:val="21"/>
        </w:rPr>
      </w:pPr>
      <w:r>
        <w:rPr>
          <w:rFonts w:hint="eastAsia" w:ascii="宋体" w:hAnsi="宋体"/>
          <w:szCs w:val="21"/>
        </w:rPr>
        <w:t>1.3代付资金的差错处理：如出现代付失败退款或代付资金在代付指令操作完毕后有剩余的情形，乙方应在代付指令操作完毕后，将多出的代付资金在当日原路退款至甲方的银行账户。</w:t>
      </w:r>
    </w:p>
    <w:p>
      <w:pPr>
        <w:adjustRightInd w:val="0"/>
        <w:snapToGrid w:val="0"/>
        <w:spacing w:beforeLines="50" w:line="276" w:lineRule="auto"/>
        <w:rPr>
          <w:rFonts w:ascii="宋体" w:hAnsi="宋体"/>
          <w:szCs w:val="21"/>
          <w:highlight w:val="yellow"/>
        </w:rPr>
      </w:pPr>
      <w:r>
        <w:rPr>
          <w:rFonts w:hint="eastAsia" w:ascii="宋体" w:hAnsi="宋体"/>
          <w:szCs w:val="21"/>
          <w:highlight w:val="yellow"/>
        </w:rPr>
        <w:t>1.4 甲方的代付业务用途包括</w:t>
      </w:r>
      <w:r>
        <w:rPr>
          <w:rFonts w:hint="eastAsia" w:ascii="宋体" w:hAnsi="宋体"/>
          <w:szCs w:val="21"/>
          <w:highlight w:val="yellow"/>
          <w:u w:val="single"/>
        </w:rPr>
        <w:t xml:space="preserve">   款项结算  </w:t>
      </w:r>
      <w:r>
        <w:rPr>
          <w:rFonts w:hint="eastAsia" w:ascii="宋体" w:hAnsi="宋体"/>
          <w:szCs w:val="21"/>
          <w:highlight w:val="yellow"/>
        </w:rPr>
        <w:t xml:space="preserve">   。</w:t>
      </w:r>
    </w:p>
    <w:p>
      <w:pPr>
        <w:pStyle w:val="22"/>
        <w:adjustRightInd w:val="0"/>
        <w:snapToGrid w:val="0"/>
        <w:spacing w:beforeLines="50" w:line="276" w:lineRule="auto"/>
        <w:ind w:firstLine="0" w:firstLineChars="0"/>
        <w:rPr>
          <w:rFonts w:ascii="宋体" w:hAnsi="宋体"/>
          <w:b/>
          <w:szCs w:val="21"/>
        </w:rPr>
      </w:pPr>
      <w:r>
        <w:rPr>
          <w:rFonts w:hint="eastAsia" w:ascii="宋体" w:hAnsi="宋体"/>
          <w:b/>
          <w:szCs w:val="21"/>
        </w:rPr>
        <w:t>二、甲乙双方权利义务</w:t>
      </w:r>
    </w:p>
    <w:p>
      <w:pPr>
        <w:adjustRightInd w:val="0"/>
        <w:snapToGrid w:val="0"/>
        <w:spacing w:beforeLines="50" w:line="276" w:lineRule="auto"/>
        <w:ind w:left="420" w:hanging="420" w:hangingChars="200"/>
        <w:rPr>
          <w:rFonts w:ascii="宋体" w:hAnsi="宋体"/>
          <w:color w:val="000000"/>
          <w:szCs w:val="21"/>
        </w:rPr>
      </w:pPr>
      <w:r>
        <w:rPr>
          <w:rFonts w:hint="eastAsia" w:ascii="宋体" w:hAnsi="宋体"/>
          <w:color w:val="000000"/>
          <w:szCs w:val="21"/>
        </w:rPr>
        <w:t>2.1甲方向乙方提交了正确代付指令后，代付款项将在甲方系统选择的转账方式时限内到账。</w:t>
      </w:r>
      <w:r>
        <w:rPr>
          <w:rFonts w:hint="eastAsia" w:ascii="宋体" w:hAnsi="宋体"/>
          <w:color w:val="000000"/>
          <w:szCs w:val="21"/>
          <w:highlight w:val="yellow"/>
        </w:rPr>
        <w:t>甲方付款、退款账户为同一结算账户</w:t>
      </w:r>
      <w:r>
        <w:rPr>
          <w:rFonts w:hint="eastAsia" w:ascii="宋体" w:hAnsi="宋体"/>
          <w:color w:val="000000"/>
          <w:szCs w:val="21"/>
        </w:rPr>
        <w:t>。</w:t>
      </w:r>
    </w:p>
    <w:p>
      <w:pPr>
        <w:adjustRightInd w:val="0"/>
        <w:snapToGrid w:val="0"/>
        <w:spacing w:beforeLines="50" w:line="276" w:lineRule="auto"/>
        <w:ind w:left="420" w:hanging="420" w:hangingChars="200"/>
        <w:rPr>
          <w:rFonts w:ascii="宋体" w:hAnsi="宋体"/>
          <w:szCs w:val="21"/>
        </w:rPr>
      </w:pPr>
      <w:r>
        <w:rPr>
          <w:rFonts w:hint="eastAsia" w:ascii="宋体" w:hAnsi="宋体"/>
          <w:szCs w:val="21"/>
        </w:rPr>
        <w:t>2.2 甲方保证其商户资金结算账户中的资金金额不小于代付指令中的支付资金总额。若因甲方商户资金结算账户中的资金金额不足造成指定支付日延迟或不能支付，乙方不承担任何责任。</w:t>
      </w:r>
    </w:p>
    <w:p>
      <w:pPr>
        <w:adjustRightInd w:val="0"/>
        <w:snapToGrid w:val="0"/>
        <w:spacing w:beforeLines="50" w:line="276" w:lineRule="auto"/>
        <w:ind w:left="420" w:hanging="420" w:hangingChars="200"/>
        <w:rPr>
          <w:rFonts w:ascii="宋体" w:hAnsi="宋体"/>
          <w:szCs w:val="21"/>
        </w:rPr>
      </w:pPr>
      <w:r>
        <w:rPr>
          <w:rFonts w:hint="eastAsia" w:ascii="宋体" w:hAnsi="宋体"/>
          <w:szCs w:val="21"/>
        </w:rPr>
        <w:t>2.3 甲方保证不将代付业务用于本附件1.4条填写的用途范围以外，否则乙方可随时解除本协议且不承担任何违约责任。</w:t>
      </w:r>
    </w:p>
    <w:p>
      <w:pPr>
        <w:adjustRightInd w:val="0"/>
        <w:snapToGrid w:val="0"/>
        <w:spacing w:beforeLines="50" w:line="276" w:lineRule="auto"/>
        <w:ind w:left="420" w:hanging="420" w:hangingChars="200"/>
        <w:rPr>
          <w:rFonts w:ascii="宋体" w:hAnsi="宋体"/>
          <w:szCs w:val="21"/>
        </w:rPr>
      </w:pPr>
      <w:r>
        <w:rPr>
          <w:rFonts w:hint="eastAsia" w:ascii="宋体" w:hAnsi="宋体"/>
          <w:szCs w:val="21"/>
        </w:rPr>
        <w:t>2.4 乙方有权要求甲方提交证明代付业务用途的相关文件，甲方应当配合提交，否则乙方可随时解除本协议且不承担任何违约责任。</w:t>
      </w:r>
    </w:p>
    <w:p>
      <w:pPr>
        <w:pStyle w:val="22"/>
        <w:adjustRightInd w:val="0"/>
        <w:snapToGrid w:val="0"/>
        <w:spacing w:beforeLines="50"/>
        <w:ind w:left="420" w:hanging="420" w:hangingChars="200"/>
        <w:rPr>
          <w:rFonts w:ascii="宋体" w:hAnsi="宋体"/>
          <w:szCs w:val="21"/>
        </w:rPr>
      </w:pPr>
      <w:r>
        <w:rPr>
          <w:rFonts w:hint="eastAsia" w:ascii="宋体" w:hAnsi="宋体"/>
          <w:szCs w:val="21"/>
        </w:rPr>
        <w:t>2.5 甲方向乙方发出代付指令后，视为甲方已经确认本次指令的所有内容并同意乙方进行代付的操作，如因甲方提交错误的代付指令导致代付错误的，由甲方自行承担责任，乙方不承担任何责任。</w:t>
      </w:r>
    </w:p>
    <w:p>
      <w:pPr>
        <w:adjustRightInd w:val="0"/>
        <w:snapToGrid w:val="0"/>
        <w:spacing w:beforeLines="50" w:line="276" w:lineRule="auto"/>
        <w:rPr>
          <w:rFonts w:ascii="宋体" w:hAnsi="宋体"/>
          <w:b/>
          <w:szCs w:val="21"/>
        </w:rPr>
      </w:pPr>
      <w:r>
        <w:rPr>
          <w:rFonts w:hint="eastAsia" w:ascii="宋体" w:hAnsi="宋体"/>
          <w:b/>
          <w:szCs w:val="21"/>
        </w:rPr>
        <w:t>三、服务专项约定</w:t>
      </w:r>
    </w:p>
    <w:p>
      <w:pPr>
        <w:adjustRightInd w:val="0"/>
        <w:snapToGrid w:val="0"/>
        <w:spacing w:beforeLines="50" w:line="276" w:lineRule="auto"/>
        <w:ind w:left="420" w:hanging="420" w:hangingChars="200"/>
        <w:rPr>
          <w:rFonts w:ascii="宋体" w:hAnsi="宋体"/>
          <w:color w:val="000000"/>
          <w:szCs w:val="21"/>
        </w:rPr>
      </w:pPr>
      <w:r>
        <w:rPr>
          <w:rFonts w:hint="eastAsia" w:ascii="宋体" w:hAnsi="宋体"/>
          <w:color w:val="000000"/>
          <w:szCs w:val="21"/>
        </w:rPr>
        <w:t>3.1代付通道所支持的银行卡种及到账时间随银行政策变动，具体以乙方系统的信息为准。</w:t>
      </w:r>
    </w:p>
    <w:p>
      <w:pPr>
        <w:adjustRightInd w:val="0"/>
        <w:snapToGrid w:val="0"/>
        <w:spacing w:beforeLines="50" w:line="276" w:lineRule="auto"/>
        <w:ind w:left="420" w:hanging="420" w:hangingChars="200"/>
        <w:rPr>
          <w:rFonts w:ascii="宋体" w:hAnsi="宋体"/>
          <w:szCs w:val="21"/>
        </w:rPr>
      </w:pPr>
      <w:r>
        <w:rPr>
          <w:rFonts w:hint="eastAsia" w:ascii="宋体" w:hAnsi="宋体"/>
          <w:szCs w:val="21"/>
        </w:rPr>
        <w:t>3.2 甲方同意，超出甲方单笔代付限额的，乙方有权根据业务需要自主设定每笔代付金额，多笔代付总金额需与甲方指令中的支付资金总额相匹配。</w:t>
      </w:r>
    </w:p>
    <w:p>
      <w:pPr>
        <w:spacing w:beforeLines="50" w:line="276" w:lineRule="auto"/>
        <w:ind w:left="420" w:hanging="420" w:hangingChars="200"/>
        <w:rPr>
          <w:rFonts w:ascii="宋体" w:hAnsi="宋体"/>
          <w:szCs w:val="21"/>
        </w:rPr>
      </w:pPr>
      <w:r>
        <w:rPr>
          <w:rFonts w:hint="eastAsia" w:ascii="宋体" w:hAnsi="宋体"/>
          <w:szCs w:val="21"/>
        </w:rPr>
        <w:t>3.3 甲方同意并认可乙方仅对交易数据和交易资金的格式进行复核，对甲方交易指令的具体发出主体，不承担审核责任。甲方作为指令的发出人，应对甲方自有平台进行安全维护，若出现他人盗用平台账号，或平台服务器遭受攻击等情况，由甲方自行承担因此产生的后果，乙方并不承担任何责任。</w:t>
      </w:r>
    </w:p>
    <w:p>
      <w:pPr>
        <w:spacing w:beforeLines="50" w:line="276" w:lineRule="auto"/>
        <w:ind w:left="422" w:hanging="422" w:hangingChars="200"/>
        <w:rPr>
          <w:rFonts w:ascii="宋体" w:hAnsi="宋体"/>
          <w:szCs w:val="21"/>
        </w:rPr>
      </w:pPr>
      <w:r>
        <w:rPr>
          <w:rFonts w:hint="eastAsia" w:ascii="宋体" w:hAnsi="宋体"/>
          <w:b/>
          <w:szCs w:val="21"/>
        </w:rPr>
        <w:t>四、产品费率及限额</w:t>
      </w:r>
    </w:p>
    <w:p>
      <w:pPr>
        <w:adjustRightInd w:val="0"/>
        <w:snapToGrid w:val="0"/>
        <w:spacing w:beforeLines="50" w:line="276" w:lineRule="auto"/>
        <w:rPr>
          <w:rFonts w:ascii="宋体" w:hAnsi="宋体"/>
          <w:color w:val="000000"/>
          <w:szCs w:val="21"/>
        </w:rPr>
      </w:pPr>
      <w:r>
        <w:rPr>
          <w:rFonts w:hint="eastAsia" w:ascii="宋体" w:hAnsi="宋体"/>
          <w:color w:val="000000"/>
          <w:szCs w:val="21"/>
        </w:rPr>
        <w:t>4.1乙方为甲方提供如下产品服务，甲方应按如下标准向乙方支付相应费用：</w:t>
      </w:r>
    </w:p>
    <w:tbl>
      <w:tblPr>
        <w:tblStyle w:val="9"/>
        <w:tblW w:w="8038" w:type="dxa"/>
        <w:tblInd w:w="4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2943"/>
        <w:gridCol w:w="43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709" w:type="dxa"/>
            <w:shd w:val="pct25" w:color="auto" w:fill="auto"/>
            <w:vAlign w:val="center"/>
          </w:tcPr>
          <w:p>
            <w:pPr>
              <w:spacing w:line="276" w:lineRule="auto"/>
              <w:jc w:val="center"/>
              <w:rPr>
                <w:rFonts w:ascii="宋体" w:hAnsi="宋体"/>
                <w:color w:val="000000"/>
                <w:szCs w:val="21"/>
              </w:rPr>
            </w:pPr>
            <w:r>
              <w:rPr>
                <w:rFonts w:hint="eastAsia" w:ascii="宋体" w:hAnsi="宋体"/>
                <w:color w:val="000000"/>
                <w:szCs w:val="21"/>
              </w:rPr>
              <w:t>序</w:t>
            </w:r>
            <w:r>
              <w:rPr>
                <w:rFonts w:hint="eastAsia" w:ascii="宋体" w:hAnsi="宋体"/>
                <w:color w:val="000000"/>
                <w:szCs w:val="21"/>
              </w:rPr>
              <w:drawing>
                <wp:anchor distT="0" distB="0" distL="114300" distR="114300" simplePos="0" relativeHeight="251710464" behindDoc="1" locked="0" layoutInCell="1" allowOverlap="1">
                  <wp:simplePos x="0" y="0"/>
                  <wp:positionH relativeFrom="column">
                    <wp:posOffset>-314960</wp:posOffset>
                  </wp:positionH>
                  <wp:positionV relativeFrom="paragraph">
                    <wp:posOffset>655320</wp:posOffset>
                  </wp:positionV>
                  <wp:extent cx="5267960" cy="7456805"/>
                  <wp:effectExtent l="0" t="0" r="0" b="0"/>
                  <wp:wrapNone/>
                  <wp:docPr id="17" name="图片 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水印"/>
                          <pic:cNvPicPr>
                            <a:picLocks noChangeAspect="1"/>
                          </pic:cNvPicPr>
                        </pic:nvPicPr>
                        <pic:blipFill>
                          <a:blip r:embed="rId7"/>
                          <a:stretch>
                            <a:fillRect/>
                          </a:stretch>
                        </pic:blipFill>
                        <pic:spPr>
                          <a:xfrm>
                            <a:off x="0" y="0"/>
                            <a:ext cx="5267960" cy="7456805"/>
                          </a:xfrm>
                          <a:prstGeom prst="rect">
                            <a:avLst/>
                          </a:prstGeom>
                          <a:noFill/>
                          <a:ln w="9525">
                            <a:noFill/>
                          </a:ln>
                        </pic:spPr>
                      </pic:pic>
                    </a:graphicData>
                  </a:graphic>
                </wp:anchor>
              </w:drawing>
            </w:r>
            <w:r>
              <w:rPr>
                <w:rFonts w:hint="eastAsia" w:ascii="宋体" w:hAnsi="宋体"/>
                <w:color w:val="000000"/>
                <w:szCs w:val="21"/>
              </w:rPr>
              <w:t>号</w:t>
            </w:r>
          </w:p>
        </w:tc>
        <w:tc>
          <w:tcPr>
            <w:tcW w:w="2943" w:type="dxa"/>
            <w:tcBorders>
              <w:right w:val="single" w:color="auto" w:sz="4" w:space="0"/>
            </w:tcBorders>
            <w:shd w:val="pct25" w:color="auto" w:fill="auto"/>
            <w:vAlign w:val="center"/>
          </w:tcPr>
          <w:p>
            <w:pPr>
              <w:tabs>
                <w:tab w:val="left" w:pos="502"/>
              </w:tabs>
              <w:spacing w:line="276" w:lineRule="auto"/>
              <w:ind w:left="-10"/>
              <w:jc w:val="center"/>
              <w:rPr>
                <w:rFonts w:ascii="宋体" w:hAnsi="宋体" w:cs="Arial"/>
                <w:color w:val="000000"/>
                <w:szCs w:val="21"/>
              </w:rPr>
            </w:pPr>
            <w:r>
              <w:rPr>
                <w:rFonts w:hint="eastAsia" w:ascii="宋体" w:hAnsi="宋体" w:cs="Arial"/>
                <w:color w:val="000000"/>
                <w:szCs w:val="21"/>
              </w:rPr>
              <w:t>产品项目</w:t>
            </w:r>
          </w:p>
        </w:tc>
        <w:tc>
          <w:tcPr>
            <w:tcW w:w="4386" w:type="dxa"/>
            <w:tcBorders>
              <w:left w:val="single" w:color="auto" w:sz="4" w:space="0"/>
            </w:tcBorders>
            <w:shd w:val="pct25" w:color="auto" w:fill="auto"/>
            <w:vAlign w:val="center"/>
          </w:tcPr>
          <w:p>
            <w:pPr>
              <w:tabs>
                <w:tab w:val="left" w:pos="1260"/>
              </w:tabs>
              <w:spacing w:line="276" w:lineRule="auto"/>
              <w:ind w:left="-12"/>
              <w:jc w:val="center"/>
              <w:rPr>
                <w:rFonts w:ascii="宋体" w:hAnsi="宋体" w:cs="宋体"/>
                <w:color w:val="000000"/>
                <w:szCs w:val="21"/>
              </w:rPr>
            </w:pPr>
            <w:r>
              <w:rPr>
                <w:rFonts w:hint="eastAsia" w:ascii="宋体" w:hAnsi="宋体" w:cs="宋体"/>
                <w:color w:val="000000"/>
                <w:szCs w:val="21"/>
              </w:rPr>
              <w:t>单笔交易手续费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 w:hRule="atLeast"/>
        </w:trPr>
        <w:tc>
          <w:tcPr>
            <w:tcW w:w="709" w:type="dxa"/>
            <w:shd w:val="pct25" w:color="auto" w:fill="auto"/>
            <w:vAlign w:val="center"/>
          </w:tcPr>
          <w:p>
            <w:pPr>
              <w:spacing w:line="276" w:lineRule="auto"/>
              <w:jc w:val="center"/>
              <w:rPr>
                <w:rFonts w:ascii="宋体" w:hAnsi="宋体"/>
                <w:color w:val="000000"/>
                <w:szCs w:val="21"/>
              </w:rPr>
            </w:pPr>
            <w:r>
              <w:rPr>
                <w:rFonts w:hint="eastAsia" w:ascii="宋体" w:hAnsi="宋体"/>
                <w:color w:val="000000"/>
                <w:szCs w:val="21"/>
              </w:rPr>
              <w:t>1</w:t>
            </w:r>
          </w:p>
        </w:tc>
        <w:tc>
          <w:tcPr>
            <w:tcW w:w="2943" w:type="dxa"/>
            <w:vAlign w:val="center"/>
          </w:tcPr>
          <w:p>
            <w:pPr>
              <w:tabs>
                <w:tab w:val="left" w:pos="502"/>
              </w:tabs>
              <w:spacing w:line="276" w:lineRule="auto"/>
              <w:ind w:firstLine="105" w:firstLineChars="50"/>
              <w:jc w:val="center"/>
              <w:rPr>
                <w:rFonts w:ascii="宋体" w:hAnsi="宋体" w:cs="Arial"/>
                <w:color w:val="000000"/>
                <w:szCs w:val="21"/>
              </w:rPr>
            </w:pPr>
            <w:r>
              <w:rPr>
                <w:rFonts w:hint="eastAsia" w:ascii="宋体" w:hAnsi="宋体" w:cs="Arial"/>
                <w:color w:val="000000"/>
                <w:szCs w:val="21"/>
              </w:rPr>
              <w:t>工作日代付-API</w:t>
            </w:r>
          </w:p>
        </w:tc>
        <w:tc>
          <w:tcPr>
            <w:tcW w:w="4386" w:type="dxa"/>
            <w:vAlign w:val="center"/>
          </w:tcPr>
          <w:p>
            <w:pPr>
              <w:spacing w:line="276" w:lineRule="auto"/>
              <w:jc w:val="center"/>
              <w:rPr>
                <w:rFonts w:ascii="宋体" w:hAnsi="宋体" w:cs="Arial"/>
                <w:color w:val="000000"/>
                <w:szCs w:val="21"/>
                <w:u w:val="single"/>
              </w:rPr>
            </w:pP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 w:hRule="atLeast"/>
        </w:trPr>
        <w:tc>
          <w:tcPr>
            <w:tcW w:w="709" w:type="dxa"/>
            <w:shd w:val="pct25" w:color="auto" w:fill="auto"/>
            <w:vAlign w:val="center"/>
          </w:tcPr>
          <w:p>
            <w:pPr>
              <w:spacing w:line="276" w:lineRule="auto"/>
              <w:jc w:val="center"/>
              <w:rPr>
                <w:rFonts w:ascii="宋体" w:hAnsi="宋体"/>
                <w:color w:val="000000"/>
                <w:szCs w:val="21"/>
              </w:rPr>
            </w:pPr>
            <w:r>
              <w:rPr>
                <w:rFonts w:hint="eastAsia" w:ascii="宋体" w:hAnsi="宋体"/>
                <w:color w:val="000000"/>
                <w:szCs w:val="21"/>
              </w:rPr>
              <w:t>2</w:t>
            </w:r>
          </w:p>
        </w:tc>
        <w:tc>
          <w:tcPr>
            <w:tcW w:w="2943" w:type="dxa"/>
            <w:vAlign w:val="center"/>
          </w:tcPr>
          <w:p>
            <w:pPr>
              <w:tabs>
                <w:tab w:val="left" w:pos="502"/>
              </w:tabs>
              <w:spacing w:line="276" w:lineRule="auto"/>
              <w:ind w:firstLine="105" w:firstLineChars="50"/>
              <w:jc w:val="center"/>
              <w:rPr>
                <w:rFonts w:ascii="宋体" w:hAnsi="宋体" w:cs="Arial"/>
                <w:color w:val="000000"/>
                <w:szCs w:val="21"/>
              </w:rPr>
            </w:pPr>
            <w:r>
              <w:rPr>
                <w:rFonts w:hint="eastAsia" w:ascii="宋体" w:hAnsi="宋体" w:cs="Arial"/>
                <w:color w:val="000000"/>
                <w:szCs w:val="21"/>
              </w:rPr>
              <w:t>工作日晚上代付-API</w:t>
            </w:r>
          </w:p>
        </w:tc>
        <w:tc>
          <w:tcPr>
            <w:tcW w:w="4386" w:type="dxa"/>
            <w:vAlign w:val="center"/>
          </w:tcPr>
          <w:p>
            <w:pPr>
              <w:spacing w:line="276" w:lineRule="auto"/>
              <w:jc w:val="center"/>
              <w:rPr>
                <w:rFonts w:ascii="宋体" w:hAnsi="宋体" w:cs="Arial"/>
                <w:color w:val="000000"/>
                <w:szCs w:val="21"/>
                <w:u w:val="single"/>
              </w:rPr>
            </w:pP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 w:hRule="atLeast"/>
        </w:trPr>
        <w:tc>
          <w:tcPr>
            <w:tcW w:w="709" w:type="dxa"/>
            <w:shd w:val="pct25" w:color="auto" w:fill="auto"/>
            <w:vAlign w:val="center"/>
          </w:tcPr>
          <w:p>
            <w:pPr>
              <w:spacing w:line="276" w:lineRule="auto"/>
              <w:jc w:val="center"/>
              <w:rPr>
                <w:rFonts w:ascii="宋体" w:hAnsi="宋体"/>
                <w:color w:val="000000"/>
                <w:szCs w:val="21"/>
              </w:rPr>
            </w:pPr>
            <w:r>
              <w:rPr>
                <w:rFonts w:hint="eastAsia" w:ascii="宋体" w:hAnsi="宋体"/>
                <w:color w:val="000000"/>
                <w:szCs w:val="21"/>
              </w:rPr>
              <w:t>3</w:t>
            </w:r>
          </w:p>
        </w:tc>
        <w:tc>
          <w:tcPr>
            <w:tcW w:w="2943" w:type="dxa"/>
            <w:vAlign w:val="center"/>
          </w:tcPr>
          <w:p>
            <w:pPr>
              <w:tabs>
                <w:tab w:val="left" w:pos="502"/>
              </w:tabs>
              <w:spacing w:line="276" w:lineRule="auto"/>
              <w:ind w:firstLine="105" w:firstLineChars="50"/>
              <w:jc w:val="center"/>
              <w:rPr>
                <w:rFonts w:ascii="宋体" w:hAnsi="宋体" w:cs="Arial"/>
                <w:color w:val="000000"/>
                <w:szCs w:val="21"/>
              </w:rPr>
            </w:pPr>
            <w:r>
              <w:rPr>
                <w:rFonts w:hint="eastAsia" w:ascii="宋体" w:hAnsi="宋体" w:cs="Arial"/>
                <w:color w:val="000000"/>
                <w:szCs w:val="21"/>
              </w:rPr>
              <w:t>节假日代付-API</w:t>
            </w:r>
          </w:p>
        </w:tc>
        <w:tc>
          <w:tcPr>
            <w:tcW w:w="4386" w:type="dxa"/>
            <w:vAlign w:val="center"/>
          </w:tcPr>
          <w:p>
            <w:pPr>
              <w:spacing w:line="276" w:lineRule="auto"/>
              <w:jc w:val="center"/>
              <w:rPr>
                <w:rFonts w:ascii="宋体" w:hAnsi="宋体" w:cs="Arial"/>
                <w:color w:val="000000"/>
                <w:szCs w:val="21"/>
                <w:u w:val="single"/>
              </w:rPr>
            </w:pP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 w:hRule="atLeast"/>
        </w:trPr>
        <w:tc>
          <w:tcPr>
            <w:tcW w:w="709" w:type="dxa"/>
            <w:shd w:val="pct25" w:color="auto" w:fill="auto"/>
            <w:vAlign w:val="center"/>
          </w:tcPr>
          <w:p>
            <w:pPr>
              <w:spacing w:line="276" w:lineRule="auto"/>
              <w:jc w:val="center"/>
              <w:rPr>
                <w:rFonts w:ascii="宋体" w:hAnsi="宋体"/>
                <w:color w:val="000000"/>
                <w:szCs w:val="21"/>
              </w:rPr>
            </w:pPr>
            <w:r>
              <w:rPr>
                <w:rFonts w:hint="eastAsia" w:ascii="宋体" w:hAnsi="宋体"/>
                <w:color w:val="000000"/>
                <w:szCs w:val="21"/>
              </w:rPr>
              <w:t>4</w:t>
            </w:r>
          </w:p>
        </w:tc>
        <w:tc>
          <w:tcPr>
            <w:tcW w:w="2943" w:type="dxa"/>
            <w:vAlign w:val="center"/>
          </w:tcPr>
          <w:p>
            <w:pPr>
              <w:tabs>
                <w:tab w:val="left" w:pos="502"/>
              </w:tabs>
              <w:spacing w:line="276" w:lineRule="auto"/>
              <w:ind w:firstLine="105" w:firstLineChars="50"/>
              <w:jc w:val="center"/>
              <w:rPr>
                <w:rFonts w:ascii="宋体" w:hAnsi="宋体" w:cs="Arial"/>
                <w:color w:val="000000"/>
                <w:szCs w:val="21"/>
              </w:rPr>
            </w:pPr>
            <w:r>
              <w:rPr>
                <w:rFonts w:hint="eastAsia" w:ascii="宋体" w:hAnsi="宋体" w:cs="Arial"/>
                <w:color w:val="000000"/>
                <w:szCs w:val="21"/>
              </w:rPr>
              <w:t>工作日代付</w:t>
            </w:r>
          </w:p>
        </w:tc>
        <w:tc>
          <w:tcPr>
            <w:tcW w:w="4386" w:type="dxa"/>
            <w:vAlign w:val="center"/>
          </w:tcPr>
          <w:p>
            <w:pPr>
              <w:spacing w:line="276" w:lineRule="auto"/>
              <w:jc w:val="center"/>
              <w:rPr>
                <w:rFonts w:ascii="宋体" w:hAnsi="宋体" w:cs="Arial"/>
                <w:color w:val="000000"/>
                <w:szCs w:val="21"/>
                <w:u w:val="single"/>
              </w:rPr>
            </w:pP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 w:hRule="atLeast"/>
        </w:trPr>
        <w:tc>
          <w:tcPr>
            <w:tcW w:w="709" w:type="dxa"/>
            <w:shd w:val="pct25" w:color="auto" w:fill="auto"/>
            <w:vAlign w:val="center"/>
          </w:tcPr>
          <w:p>
            <w:pPr>
              <w:spacing w:line="276" w:lineRule="auto"/>
              <w:jc w:val="center"/>
              <w:rPr>
                <w:rFonts w:ascii="宋体" w:hAnsi="宋体"/>
                <w:color w:val="000000"/>
                <w:szCs w:val="21"/>
              </w:rPr>
            </w:pPr>
            <w:r>
              <w:rPr>
                <w:rFonts w:hint="eastAsia" w:ascii="宋体" w:hAnsi="宋体"/>
                <w:color w:val="000000"/>
                <w:szCs w:val="21"/>
              </w:rPr>
              <w:t>5</w:t>
            </w:r>
          </w:p>
        </w:tc>
        <w:tc>
          <w:tcPr>
            <w:tcW w:w="2943" w:type="dxa"/>
            <w:vAlign w:val="center"/>
          </w:tcPr>
          <w:p>
            <w:pPr>
              <w:tabs>
                <w:tab w:val="left" w:pos="502"/>
              </w:tabs>
              <w:spacing w:line="276" w:lineRule="auto"/>
              <w:ind w:firstLine="105" w:firstLineChars="50"/>
              <w:jc w:val="center"/>
              <w:rPr>
                <w:rFonts w:ascii="宋体" w:hAnsi="宋体" w:cs="Arial"/>
                <w:color w:val="000000"/>
                <w:szCs w:val="21"/>
              </w:rPr>
            </w:pPr>
            <w:r>
              <w:rPr>
                <w:rFonts w:hint="eastAsia" w:ascii="宋体" w:hAnsi="宋体" w:cs="Arial"/>
                <w:color w:val="000000"/>
                <w:szCs w:val="21"/>
              </w:rPr>
              <w:t>工作日晚上代付</w:t>
            </w:r>
          </w:p>
        </w:tc>
        <w:tc>
          <w:tcPr>
            <w:tcW w:w="4386" w:type="dxa"/>
            <w:vAlign w:val="center"/>
          </w:tcPr>
          <w:p>
            <w:pPr>
              <w:spacing w:line="276" w:lineRule="auto"/>
              <w:jc w:val="center"/>
              <w:rPr>
                <w:rFonts w:ascii="宋体" w:hAnsi="宋体" w:cs="Arial"/>
                <w:color w:val="000000"/>
                <w:szCs w:val="21"/>
                <w:u w:val="single"/>
              </w:rPr>
            </w:pP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 w:hRule="atLeast"/>
        </w:trPr>
        <w:tc>
          <w:tcPr>
            <w:tcW w:w="709" w:type="dxa"/>
            <w:shd w:val="pct25" w:color="auto" w:fill="auto"/>
            <w:vAlign w:val="center"/>
          </w:tcPr>
          <w:p>
            <w:pPr>
              <w:spacing w:line="276" w:lineRule="auto"/>
              <w:jc w:val="center"/>
              <w:rPr>
                <w:rFonts w:ascii="宋体" w:hAnsi="宋体"/>
                <w:color w:val="000000"/>
                <w:szCs w:val="21"/>
              </w:rPr>
            </w:pPr>
            <w:r>
              <w:rPr>
                <w:rFonts w:hint="eastAsia" w:ascii="宋体" w:hAnsi="宋体"/>
                <w:color w:val="000000"/>
                <w:szCs w:val="21"/>
              </w:rPr>
              <w:t>6</w:t>
            </w:r>
          </w:p>
        </w:tc>
        <w:tc>
          <w:tcPr>
            <w:tcW w:w="2943" w:type="dxa"/>
            <w:vAlign w:val="center"/>
          </w:tcPr>
          <w:p>
            <w:pPr>
              <w:tabs>
                <w:tab w:val="left" w:pos="502"/>
              </w:tabs>
              <w:spacing w:line="276" w:lineRule="auto"/>
              <w:ind w:firstLine="105" w:firstLineChars="50"/>
              <w:jc w:val="center"/>
              <w:rPr>
                <w:rFonts w:ascii="宋体" w:hAnsi="宋体" w:cs="Arial"/>
                <w:color w:val="000000"/>
                <w:szCs w:val="21"/>
              </w:rPr>
            </w:pPr>
            <w:r>
              <w:rPr>
                <w:rFonts w:hint="eastAsia" w:ascii="宋体" w:hAnsi="宋体" w:cs="Arial"/>
                <w:color w:val="000000"/>
                <w:szCs w:val="21"/>
              </w:rPr>
              <w:t>节假日代付</w:t>
            </w:r>
          </w:p>
        </w:tc>
        <w:tc>
          <w:tcPr>
            <w:tcW w:w="4386" w:type="dxa"/>
            <w:vAlign w:val="center"/>
          </w:tcPr>
          <w:p>
            <w:pPr>
              <w:spacing w:line="276" w:lineRule="auto"/>
              <w:jc w:val="center"/>
              <w:rPr>
                <w:rFonts w:ascii="宋体" w:hAnsi="宋体" w:cs="Arial"/>
                <w:color w:val="000000"/>
                <w:szCs w:val="21"/>
                <w:u w:val="single"/>
              </w:rPr>
            </w:pPr>
            <w:r>
              <w:rPr>
                <w:rFonts w:hint="eastAsia" w:ascii="宋体" w:hAnsi="宋体"/>
                <w:szCs w:val="21"/>
              </w:rPr>
              <w:t>/</w:t>
            </w:r>
          </w:p>
        </w:tc>
      </w:tr>
    </w:tbl>
    <w:p>
      <w:pPr>
        <w:adjustRightInd w:val="0"/>
        <w:snapToGrid w:val="0"/>
        <w:spacing w:beforeLines="50" w:line="276" w:lineRule="auto"/>
        <w:rPr>
          <w:rFonts w:ascii="宋体" w:hAnsi="宋体"/>
          <w:color w:val="000000"/>
          <w:szCs w:val="21"/>
        </w:rPr>
      </w:pPr>
      <w:r>
        <w:rPr>
          <w:rFonts w:hint="eastAsia" w:ascii="宋体" w:hAnsi="宋体"/>
          <w:color w:val="000000"/>
          <w:szCs w:val="21"/>
        </w:rPr>
        <w:t>4.2甲方代付至银行账户应遵循以下限额（如有银行调整限额，以银行调整为准）规则：</w:t>
      </w:r>
    </w:p>
    <w:tbl>
      <w:tblPr>
        <w:tblStyle w:val="9"/>
        <w:tblW w:w="8096" w:type="dxa"/>
        <w:tblInd w:w="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1918"/>
        <w:gridCol w:w="1861"/>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6" w:type="dxa"/>
            <w:shd w:val="clear" w:color="auto" w:fill="D9D9D9"/>
          </w:tcPr>
          <w:p>
            <w:pPr>
              <w:adjustRightInd w:val="0"/>
              <w:snapToGrid w:val="0"/>
              <w:spacing w:line="276" w:lineRule="auto"/>
              <w:rPr>
                <w:rFonts w:ascii="宋体" w:hAnsi="宋体"/>
                <w:color w:val="000000"/>
                <w:szCs w:val="21"/>
              </w:rPr>
            </w:pPr>
            <w:r>
              <w:rPr>
                <w:rFonts w:hint="eastAsia" w:ascii="宋体" w:hAnsi="宋体"/>
                <w:color w:val="000000"/>
                <w:szCs w:val="21"/>
              </w:rPr>
              <w:t>付款类型</w:t>
            </w:r>
          </w:p>
        </w:tc>
        <w:tc>
          <w:tcPr>
            <w:tcW w:w="1918" w:type="dxa"/>
            <w:shd w:val="clear" w:color="auto" w:fill="D9D9D9"/>
          </w:tcPr>
          <w:p>
            <w:pPr>
              <w:adjustRightInd w:val="0"/>
              <w:snapToGrid w:val="0"/>
              <w:spacing w:line="276" w:lineRule="auto"/>
              <w:rPr>
                <w:rFonts w:ascii="宋体" w:hAnsi="宋体"/>
                <w:color w:val="000000"/>
                <w:szCs w:val="21"/>
              </w:rPr>
            </w:pPr>
            <w:r>
              <w:rPr>
                <w:rFonts w:hint="eastAsia" w:ascii="宋体" w:hAnsi="宋体"/>
                <w:color w:val="000000"/>
                <w:szCs w:val="21"/>
              </w:rPr>
              <w:t>单笔限额</w:t>
            </w:r>
          </w:p>
        </w:tc>
        <w:tc>
          <w:tcPr>
            <w:tcW w:w="1861" w:type="dxa"/>
            <w:shd w:val="clear" w:color="auto" w:fill="D9D9D9"/>
          </w:tcPr>
          <w:p>
            <w:pPr>
              <w:adjustRightInd w:val="0"/>
              <w:snapToGrid w:val="0"/>
              <w:spacing w:line="276" w:lineRule="auto"/>
              <w:rPr>
                <w:rFonts w:ascii="宋体" w:hAnsi="宋体"/>
                <w:color w:val="000000"/>
                <w:szCs w:val="21"/>
              </w:rPr>
            </w:pPr>
            <w:r>
              <w:rPr>
                <w:rFonts w:hint="eastAsia" w:ascii="宋体" w:hAnsi="宋体"/>
                <w:color w:val="000000"/>
                <w:szCs w:val="21"/>
              </w:rPr>
              <w:t>单日累计限额</w:t>
            </w:r>
          </w:p>
        </w:tc>
        <w:tc>
          <w:tcPr>
            <w:tcW w:w="1861" w:type="dxa"/>
            <w:shd w:val="clear" w:color="auto" w:fill="D9D9D9"/>
          </w:tcPr>
          <w:p>
            <w:pPr>
              <w:adjustRightInd w:val="0"/>
              <w:snapToGrid w:val="0"/>
              <w:spacing w:line="276" w:lineRule="auto"/>
              <w:rPr>
                <w:rFonts w:ascii="宋体" w:hAnsi="宋体"/>
                <w:color w:val="000000"/>
                <w:szCs w:val="21"/>
              </w:rPr>
            </w:pPr>
            <w:r>
              <w:rPr>
                <w:rFonts w:hint="eastAsia" w:ascii="宋体" w:hAnsi="宋体"/>
                <w:color w:val="000000"/>
                <w:szCs w:val="21"/>
              </w:rPr>
              <w:t>单日转账笔数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6" w:type="dxa"/>
            <w:shd w:val="clear" w:color="auto" w:fill="D9D9D9"/>
          </w:tcPr>
          <w:p>
            <w:pPr>
              <w:adjustRightInd w:val="0"/>
              <w:snapToGrid w:val="0"/>
              <w:spacing w:line="276" w:lineRule="auto"/>
              <w:rPr>
                <w:rFonts w:ascii="宋体" w:hAnsi="宋体"/>
                <w:color w:val="000000"/>
                <w:szCs w:val="21"/>
              </w:rPr>
            </w:pPr>
            <w:r>
              <w:rPr>
                <w:rFonts w:hint="eastAsia" w:ascii="宋体" w:hAnsi="宋体"/>
                <w:color w:val="000000"/>
                <w:szCs w:val="21"/>
              </w:rPr>
              <w:t>单笔对私（合作银行）</w:t>
            </w:r>
          </w:p>
        </w:tc>
        <w:tc>
          <w:tcPr>
            <w:tcW w:w="1918" w:type="dxa"/>
            <w:shd w:val="clear" w:color="auto" w:fill="auto"/>
          </w:tcPr>
          <w:p>
            <w:pPr>
              <w:adjustRightInd w:val="0"/>
              <w:snapToGrid w:val="0"/>
              <w:spacing w:line="276" w:lineRule="auto"/>
              <w:rPr>
                <w:rFonts w:ascii="宋体" w:hAnsi="宋体"/>
                <w:color w:val="000000"/>
                <w:szCs w:val="21"/>
              </w:rPr>
            </w:pPr>
            <w:r>
              <w:rPr>
                <w:rFonts w:hint="eastAsia" w:ascii="宋体" w:hAnsi="宋体"/>
                <w:color w:val="000000"/>
                <w:szCs w:val="21"/>
              </w:rPr>
              <w:t>49990元</w:t>
            </w:r>
          </w:p>
        </w:tc>
        <w:tc>
          <w:tcPr>
            <w:tcW w:w="1861" w:type="dxa"/>
            <w:vMerge w:val="restart"/>
          </w:tcPr>
          <w:p>
            <w:pPr>
              <w:adjustRightInd w:val="0"/>
              <w:snapToGrid w:val="0"/>
              <w:spacing w:line="276" w:lineRule="auto"/>
              <w:rPr>
                <w:rFonts w:ascii="宋体" w:hAnsi="宋体"/>
                <w:color w:val="000000"/>
                <w:szCs w:val="21"/>
                <w:u w:val="single"/>
              </w:rPr>
            </w:pPr>
            <w:r>
              <w:rPr>
                <w:rFonts w:hint="eastAsia" w:ascii="宋体" w:hAnsi="宋体"/>
                <w:color w:val="000000"/>
                <w:szCs w:val="21"/>
                <w:u w:val="single"/>
              </w:rPr>
              <w:t>/</w:t>
            </w:r>
          </w:p>
        </w:tc>
        <w:tc>
          <w:tcPr>
            <w:tcW w:w="1861" w:type="dxa"/>
            <w:vMerge w:val="restart"/>
          </w:tcPr>
          <w:p>
            <w:pPr>
              <w:adjustRightInd w:val="0"/>
              <w:snapToGrid w:val="0"/>
              <w:spacing w:line="276" w:lineRule="auto"/>
              <w:rPr>
                <w:rFonts w:ascii="宋体" w:hAnsi="宋体"/>
                <w:color w:val="000000"/>
                <w:szCs w:val="21"/>
                <w:u w:val="single"/>
              </w:rPr>
            </w:pPr>
            <w:r>
              <w:rPr>
                <w:rFonts w:hint="eastAsia" w:ascii="宋体" w:hAnsi="宋体"/>
                <w:color w:val="000000"/>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6" w:type="dxa"/>
            <w:shd w:val="clear" w:color="auto" w:fill="D9D9D9"/>
          </w:tcPr>
          <w:p>
            <w:pPr>
              <w:adjustRightInd w:val="0"/>
              <w:snapToGrid w:val="0"/>
              <w:spacing w:line="276" w:lineRule="auto"/>
              <w:rPr>
                <w:rFonts w:ascii="宋体" w:hAnsi="宋体"/>
                <w:color w:val="000000"/>
                <w:szCs w:val="21"/>
              </w:rPr>
            </w:pPr>
            <w:r>
              <w:rPr>
                <w:rFonts w:hint="eastAsia" w:ascii="宋体" w:hAnsi="宋体"/>
                <w:color w:val="000000"/>
                <w:szCs w:val="21"/>
              </w:rPr>
              <w:t>单笔对私（非合作银行）</w:t>
            </w:r>
          </w:p>
        </w:tc>
        <w:tc>
          <w:tcPr>
            <w:tcW w:w="1918" w:type="dxa"/>
            <w:shd w:val="clear" w:color="auto" w:fill="auto"/>
          </w:tcPr>
          <w:p>
            <w:pPr>
              <w:adjustRightInd w:val="0"/>
              <w:snapToGrid w:val="0"/>
              <w:spacing w:line="276" w:lineRule="auto"/>
              <w:rPr>
                <w:rFonts w:ascii="宋体" w:hAnsi="宋体"/>
                <w:color w:val="000000"/>
                <w:szCs w:val="21"/>
              </w:rPr>
            </w:pPr>
            <w:r>
              <w:rPr>
                <w:rFonts w:hint="eastAsia" w:ascii="宋体" w:hAnsi="宋体"/>
                <w:color w:val="000000"/>
                <w:szCs w:val="21"/>
              </w:rPr>
              <w:t>49990元</w:t>
            </w:r>
          </w:p>
        </w:tc>
        <w:tc>
          <w:tcPr>
            <w:tcW w:w="1861" w:type="dxa"/>
            <w:vMerge w:val="continue"/>
          </w:tcPr>
          <w:p>
            <w:pPr>
              <w:adjustRightInd w:val="0"/>
              <w:snapToGrid w:val="0"/>
              <w:spacing w:line="276" w:lineRule="auto"/>
              <w:rPr>
                <w:rFonts w:ascii="宋体" w:hAnsi="宋体"/>
                <w:color w:val="000000"/>
                <w:szCs w:val="21"/>
                <w:u w:val="single"/>
              </w:rPr>
            </w:pPr>
          </w:p>
        </w:tc>
        <w:tc>
          <w:tcPr>
            <w:tcW w:w="1861" w:type="dxa"/>
            <w:vMerge w:val="continue"/>
          </w:tcPr>
          <w:p>
            <w:pPr>
              <w:adjustRightInd w:val="0"/>
              <w:snapToGrid w:val="0"/>
              <w:spacing w:line="276" w:lineRule="auto"/>
              <w:rPr>
                <w:rFonts w:ascii="宋体" w:hAnsi="宋体"/>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6" w:type="dxa"/>
            <w:shd w:val="clear" w:color="auto" w:fill="D9D9D9"/>
          </w:tcPr>
          <w:p>
            <w:pPr>
              <w:adjustRightInd w:val="0"/>
              <w:snapToGrid w:val="0"/>
              <w:spacing w:line="276" w:lineRule="auto"/>
              <w:rPr>
                <w:rFonts w:ascii="宋体" w:hAnsi="宋体"/>
                <w:color w:val="000000"/>
                <w:szCs w:val="21"/>
              </w:rPr>
            </w:pPr>
            <w:r>
              <w:rPr>
                <w:rFonts w:hint="eastAsia" w:ascii="宋体" w:hAnsi="宋体"/>
                <w:color w:val="000000"/>
                <w:szCs w:val="21"/>
              </w:rPr>
              <w:t>单笔对公</w:t>
            </w:r>
          </w:p>
        </w:tc>
        <w:tc>
          <w:tcPr>
            <w:tcW w:w="1918" w:type="dxa"/>
            <w:shd w:val="clear" w:color="auto" w:fill="auto"/>
          </w:tcPr>
          <w:p>
            <w:pPr>
              <w:adjustRightInd w:val="0"/>
              <w:snapToGrid w:val="0"/>
              <w:spacing w:line="276" w:lineRule="auto"/>
              <w:rPr>
                <w:rFonts w:ascii="宋体" w:hAnsi="宋体"/>
                <w:color w:val="000000"/>
                <w:szCs w:val="21"/>
              </w:rPr>
            </w:pPr>
            <w:r>
              <w:rPr>
                <w:rFonts w:hint="eastAsia" w:ascii="宋体" w:hAnsi="宋体"/>
                <w:color w:val="000000"/>
                <w:szCs w:val="21"/>
              </w:rPr>
              <w:t>200万元</w:t>
            </w:r>
          </w:p>
        </w:tc>
        <w:tc>
          <w:tcPr>
            <w:tcW w:w="1861" w:type="dxa"/>
            <w:vMerge w:val="continue"/>
          </w:tcPr>
          <w:p>
            <w:pPr>
              <w:adjustRightInd w:val="0"/>
              <w:snapToGrid w:val="0"/>
              <w:spacing w:line="276" w:lineRule="auto"/>
              <w:rPr>
                <w:rFonts w:ascii="宋体" w:hAnsi="宋体"/>
                <w:color w:val="000000"/>
                <w:szCs w:val="21"/>
                <w:u w:val="single"/>
              </w:rPr>
            </w:pPr>
          </w:p>
        </w:tc>
        <w:tc>
          <w:tcPr>
            <w:tcW w:w="1861" w:type="dxa"/>
            <w:vMerge w:val="continue"/>
          </w:tcPr>
          <w:p>
            <w:pPr>
              <w:adjustRightInd w:val="0"/>
              <w:snapToGrid w:val="0"/>
              <w:spacing w:line="276" w:lineRule="auto"/>
              <w:rPr>
                <w:rFonts w:ascii="宋体" w:hAnsi="宋体"/>
                <w:color w:val="000000"/>
                <w:szCs w:val="21"/>
                <w:u w:val="single"/>
              </w:rPr>
            </w:pPr>
          </w:p>
        </w:tc>
      </w:tr>
    </w:tbl>
    <w:p>
      <w:pPr>
        <w:spacing w:beforeLines="50"/>
        <w:rPr>
          <w:rFonts w:ascii="宋体" w:hAnsi="宋体"/>
          <w:color w:val="000000"/>
          <w:szCs w:val="21"/>
        </w:rPr>
      </w:pPr>
      <w:r>
        <w:rPr>
          <w:rFonts w:hint="eastAsia" w:ascii="宋体" w:hAnsi="宋体"/>
          <w:color w:val="000000"/>
          <w:szCs w:val="21"/>
        </w:rPr>
        <w:t xml:space="preserve">4.3乙方可以为甲方提供电子代付凭证下载服务，按 </w:t>
      </w:r>
      <w:r>
        <w:rPr>
          <w:rFonts w:hint="eastAsia" w:ascii="宋体" w:hAnsi="宋体"/>
          <w:color w:val="000000"/>
          <w:szCs w:val="21"/>
          <w:highlight w:val="yellow"/>
          <w:u w:val="single"/>
        </w:rPr>
        <w:t>（1）</w:t>
      </w:r>
      <w:r>
        <w:rPr>
          <w:rFonts w:hint="eastAsia" w:ascii="宋体" w:hAnsi="宋体"/>
          <w:color w:val="000000"/>
          <w:szCs w:val="21"/>
        </w:rPr>
        <w:t>方式执行；</w:t>
      </w:r>
    </w:p>
    <w:p>
      <w:pPr>
        <w:spacing w:beforeLines="50"/>
        <w:rPr>
          <w:rFonts w:ascii="宋体" w:hAnsi="宋体"/>
          <w:color w:val="000000"/>
          <w:szCs w:val="21"/>
        </w:rPr>
      </w:pPr>
      <w:r>
        <w:rPr>
          <w:rFonts w:hint="eastAsia" w:ascii="宋体" w:hAnsi="宋体"/>
          <w:color w:val="000000"/>
          <w:szCs w:val="21"/>
        </w:rPr>
        <w:t>（1）甲方不开通电子代付凭证下载服务；</w:t>
      </w:r>
    </w:p>
    <w:p>
      <w:pPr>
        <w:spacing w:beforeLines="50"/>
        <w:rPr>
          <w:kern w:val="0"/>
        </w:rPr>
      </w:pPr>
      <w:r>
        <w:rPr>
          <w:rFonts w:hint="eastAsia" w:ascii="宋体" w:hAnsi="宋体"/>
          <w:color w:val="000000"/>
          <w:szCs w:val="21"/>
        </w:rPr>
        <w:t>（2）甲方开通电子代付凭证下载服务，当日下载量</w:t>
      </w:r>
      <w:r>
        <w:rPr>
          <w:rFonts w:hint="eastAsia" w:ascii="宋体" w:hAnsi="宋体"/>
          <w:color w:val="000000"/>
          <w:szCs w:val="21"/>
          <w:highlight w:val="yellow"/>
          <w:u w:val="single"/>
        </w:rPr>
        <w:t>/</w:t>
      </w:r>
      <w:r>
        <w:rPr>
          <w:rFonts w:hint="eastAsia" w:ascii="宋体" w:hAnsi="宋体"/>
          <w:color w:val="000000"/>
          <w:szCs w:val="21"/>
        </w:rPr>
        <w:t>笔内不收费，超过笔数按照每笔</w:t>
      </w:r>
      <w:r>
        <w:rPr>
          <w:rFonts w:hint="eastAsia" w:ascii="宋体" w:hAnsi="宋体"/>
          <w:color w:val="000000"/>
          <w:szCs w:val="21"/>
          <w:highlight w:val="yellow"/>
          <w:u w:val="single"/>
        </w:rPr>
        <w:t>/</w:t>
      </w:r>
      <w:r>
        <w:rPr>
          <w:rFonts w:hint="eastAsia" w:ascii="宋体" w:hAnsi="宋体"/>
          <w:color w:val="000000"/>
          <w:szCs w:val="21"/>
        </w:rPr>
        <w:t xml:space="preserve">元计收服务费。 </w:t>
      </w:r>
    </w:p>
    <w:p>
      <w:pPr>
        <w:spacing w:beforeLines="50"/>
        <w:rPr>
          <w:kern w:val="0"/>
        </w:rPr>
      </w:pPr>
    </w:p>
    <w:sectPr>
      <w:headerReference r:id="rId3" w:type="default"/>
      <w:footerReference r:id="rId4" w:type="default"/>
      <w:footerReference r:id="rId5" w:type="even"/>
      <w:pgSz w:w="11906" w:h="16838"/>
      <w:pgMar w:top="1418" w:right="1418" w:bottom="1418"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p>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4"/>
      </w:rPr>
    </w:pPr>
    <w:r>
      <w:fldChar w:fldCharType="begin"/>
    </w:r>
    <w:r>
      <w:rPr>
        <w:rStyle w:val="14"/>
      </w:rPr>
      <w:instrText xml:space="preserve">PAGE  </w:instrText>
    </w:r>
    <w: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rPr>
        <w:rFonts w:ascii="楷体_GB2312" w:hAnsi="华文细黑" w:eastAsia="楷体_GB2312"/>
        <w:b/>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A29CC"/>
    <w:multiLevelType w:val="multilevel"/>
    <w:tmpl w:val="0FEA29CC"/>
    <w:lvl w:ilvl="0" w:tentative="0">
      <w:start w:val="4"/>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
    <w:nsid w:val="20145C76"/>
    <w:multiLevelType w:val="multilevel"/>
    <w:tmpl w:val="20145C76"/>
    <w:lvl w:ilvl="0" w:tentative="0">
      <w:start w:val="1"/>
      <w:numFmt w:val="decimal"/>
      <w:lvlText w:val="3.%1"/>
      <w:lvlJc w:val="left"/>
      <w:pPr>
        <w:ind w:left="420" w:hanging="420"/>
      </w:pPr>
      <w:rPr>
        <w:rFonts w:hint="eastAsia"/>
        <w:u w:val="none"/>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
    <w:nsid w:val="209A623C"/>
    <w:multiLevelType w:val="multilevel"/>
    <w:tmpl w:val="209A623C"/>
    <w:lvl w:ilvl="0" w:tentative="0">
      <w:start w:val="3"/>
      <w:numFmt w:val="japaneseCounting"/>
      <w:lvlText w:val="%1、"/>
      <w:lvlJc w:val="left"/>
      <w:pPr>
        <w:ind w:left="450" w:hanging="45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76D0FDF"/>
    <w:multiLevelType w:val="multilevel"/>
    <w:tmpl w:val="676D0FDF"/>
    <w:lvl w:ilvl="0" w:tentative="0">
      <w:start w:val="3"/>
      <w:numFmt w:val="decimal"/>
      <w:lvlText w:val="%1"/>
      <w:lvlJc w:val="left"/>
      <w:pPr>
        <w:ind w:left="360" w:hanging="360"/>
      </w:pPr>
      <w:rPr>
        <w:rFonts w:hint="default"/>
      </w:rPr>
    </w:lvl>
    <w:lvl w:ilvl="1" w:tentative="0">
      <w:start w:val="2"/>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num w:numId="1">
    <w:abstractNumId w:val="1"/>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C5E"/>
    <w:rsid w:val="00001220"/>
    <w:rsid w:val="0000484B"/>
    <w:rsid w:val="00005422"/>
    <w:rsid w:val="000073E1"/>
    <w:rsid w:val="00013ED1"/>
    <w:rsid w:val="0002050E"/>
    <w:rsid w:val="000227CA"/>
    <w:rsid w:val="00023005"/>
    <w:rsid w:val="000248C3"/>
    <w:rsid w:val="0002623D"/>
    <w:rsid w:val="000277FC"/>
    <w:rsid w:val="00031C66"/>
    <w:rsid w:val="000363A7"/>
    <w:rsid w:val="00047E0B"/>
    <w:rsid w:val="00050F7E"/>
    <w:rsid w:val="00052A81"/>
    <w:rsid w:val="00053F1E"/>
    <w:rsid w:val="000541D1"/>
    <w:rsid w:val="00055502"/>
    <w:rsid w:val="0005675B"/>
    <w:rsid w:val="000573B6"/>
    <w:rsid w:val="0006114D"/>
    <w:rsid w:val="0006237E"/>
    <w:rsid w:val="00063275"/>
    <w:rsid w:val="00074B97"/>
    <w:rsid w:val="000772CF"/>
    <w:rsid w:val="0008006E"/>
    <w:rsid w:val="00083646"/>
    <w:rsid w:val="00083CC2"/>
    <w:rsid w:val="000843FE"/>
    <w:rsid w:val="00086062"/>
    <w:rsid w:val="000918B6"/>
    <w:rsid w:val="000949A4"/>
    <w:rsid w:val="00095A2B"/>
    <w:rsid w:val="00095D7B"/>
    <w:rsid w:val="00097889"/>
    <w:rsid w:val="000A22ED"/>
    <w:rsid w:val="000A3A99"/>
    <w:rsid w:val="000A47DA"/>
    <w:rsid w:val="000A544F"/>
    <w:rsid w:val="000A5849"/>
    <w:rsid w:val="000A78F1"/>
    <w:rsid w:val="000B2BF2"/>
    <w:rsid w:val="000B4D09"/>
    <w:rsid w:val="000B7AC4"/>
    <w:rsid w:val="000B7FEB"/>
    <w:rsid w:val="000C1D37"/>
    <w:rsid w:val="000C2C27"/>
    <w:rsid w:val="000C34A7"/>
    <w:rsid w:val="000C4934"/>
    <w:rsid w:val="000D2AB7"/>
    <w:rsid w:val="000D2C07"/>
    <w:rsid w:val="000E07D9"/>
    <w:rsid w:val="000E189D"/>
    <w:rsid w:val="000E23FE"/>
    <w:rsid w:val="000E250E"/>
    <w:rsid w:val="000E2646"/>
    <w:rsid w:val="000E3626"/>
    <w:rsid w:val="000E7EA1"/>
    <w:rsid w:val="000F4F54"/>
    <w:rsid w:val="000F5DBC"/>
    <w:rsid w:val="000F5E97"/>
    <w:rsid w:val="00104552"/>
    <w:rsid w:val="00104C98"/>
    <w:rsid w:val="00105E44"/>
    <w:rsid w:val="00105F9D"/>
    <w:rsid w:val="001068F4"/>
    <w:rsid w:val="00107386"/>
    <w:rsid w:val="00107601"/>
    <w:rsid w:val="00107CBD"/>
    <w:rsid w:val="00110884"/>
    <w:rsid w:val="001112EB"/>
    <w:rsid w:val="001119F4"/>
    <w:rsid w:val="00114297"/>
    <w:rsid w:val="00117F2C"/>
    <w:rsid w:val="00120658"/>
    <w:rsid w:val="00121374"/>
    <w:rsid w:val="00122164"/>
    <w:rsid w:val="001255E5"/>
    <w:rsid w:val="001257A3"/>
    <w:rsid w:val="00140FC6"/>
    <w:rsid w:val="0014103A"/>
    <w:rsid w:val="00150F8E"/>
    <w:rsid w:val="00152C55"/>
    <w:rsid w:val="0015360F"/>
    <w:rsid w:val="001627A0"/>
    <w:rsid w:val="00165049"/>
    <w:rsid w:val="00166C01"/>
    <w:rsid w:val="00166EE4"/>
    <w:rsid w:val="00167186"/>
    <w:rsid w:val="00172A27"/>
    <w:rsid w:val="00172D4C"/>
    <w:rsid w:val="00173BBF"/>
    <w:rsid w:val="001740F0"/>
    <w:rsid w:val="00174554"/>
    <w:rsid w:val="00180289"/>
    <w:rsid w:val="00180B75"/>
    <w:rsid w:val="0018346C"/>
    <w:rsid w:val="001838AA"/>
    <w:rsid w:val="0018412A"/>
    <w:rsid w:val="00184C16"/>
    <w:rsid w:val="00184D99"/>
    <w:rsid w:val="001874A5"/>
    <w:rsid w:val="00190D7A"/>
    <w:rsid w:val="00194B3A"/>
    <w:rsid w:val="00196284"/>
    <w:rsid w:val="001963CD"/>
    <w:rsid w:val="00197042"/>
    <w:rsid w:val="001A0F34"/>
    <w:rsid w:val="001A12A2"/>
    <w:rsid w:val="001A20F1"/>
    <w:rsid w:val="001A4832"/>
    <w:rsid w:val="001A7778"/>
    <w:rsid w:val="001B18E2"/>
    <w:rsid w:val="001B1D78"/>
    <w:rsid w:val="001B2CA9"/>
    <w:rsid w:val="001B329D"/>
    <w:rsid w:val="001B4D92"/>
    <w:rsid w:val="001B79AB"/>
    <w:rsid w:val="001C4DDF"/>
    <w:rsid w:val="001C5DC4"/>
    <w:rsid w:val="001D7AAE"/>
    <w:rsid w:val="001E308F"/>
    <w:rsid w:val="001E4132"/>
    <w:rsid w:val="001E575F"/>
    <w:rsid w:val="001F05F1"/>
    <w:rsid w:val="001F6190"/>
    <w:rsid w:val="001F7392"/>
    <w:rsid w:val="00200231"/>
    <w:rsid w:val="00202723"/>
    <w:rsid w:val="00203638"/>
    <w:rsid w:val="00204E01"/>
    <w:rsid w:val="0021399A"/>
    <w:rsid w:val="00216098"/>
    <w:rsid w:val="0021778A"/>
    <w:rsid w:val="00221116"/>
    <w:rsid w:val="00221E9D"/>
    <w:rsid w:val="00222340"/>
    <w:rsid w:val="002253B9"/>
    <w:rsid w:val="002345C5"/>
    <w:rsid w:val="00234FF1"/>
    <w:rsid w:val="00237030"/>
    <w:rsid w:val="00237980"/>
    <w:rsid w:val="00240B05"/>
    <w:rsid w:val="002413C1"/>
    <w:rsid w:val="0024229B"/>
    <w:rsid w:val="00244BB6"/>
    <w:rsid w:val="00244E90"/>
    <w:rsid w:val="00246C53"/>
    <w:rsid w:val="00256616"/>
    <w:rsid w:val="00260E16"/>
    <w:rsid w:val="00261388"/>
    <w:rsid w:val="0026172F"/>
    <w:rsid w:val="00265019"/>
    <w:rsid w:val="00265D74"/>
    <w:rsid w:val="002665BC"/>
    <w:rsid w:val="002670E7"/>
    <w:rsid w:val="00270906"/>
    <w:rsid w:val="002737B6"/>
    <w:rsid w:val="002749E7"/>
    <w:rsid w:val="00275286"/>
    <w:rsid w:val="00277CD0"/>
    <w:rsid w:val="00281D4D"/>
    <w:rsid w:val="00282654"/>
    <w:rsid w:val="00282A8D"/>
    <w:rsid w:val="00284744"/>
    <w:rsid w:val="0029124B"/>
    <w:rsid w:val="002914C1"/>
    <w:rsid w:val="0029380D"/>
    <w:rsid w:val="00294B38"/>
    <w:rsid w:val="002956FC"/>
    <w:rsid w:val="002A4407"/>
    <w:rsid w:val="002B0781"/>
    <w:rsid w:val="002B232D"/>
    <w:rsid w:val="002C1EEC"/>
    <w:rsid w:val="002C2D3F"/>
    <w:rsid w:val="002C3F88"/>
    <w:rsid w:val="002D0578"/>
    <w:rsid w:val="002D51A6"/>
    <w:rsid w:val="002E0AA2"/>
    <w:rsid w:val="002E2BCF"/>
    <w:rsid w:val="002E364E"/>
    <w:rsid w:val="002E4006"/>
    <w:rsid w:val="002E5618"/>
    <w:rsid w:val="002E73B0"/>
    <w:rsid w:val="002F028C"/>
    <w:rsid w:val="002F1972"/>
    <w:rsid w:val="0030019D"/>
    <w:rsid w:val="00301908"/>
    <w:rsid w:val="00302FFA"/>
    <w:rsid w:val="00303FCE"/>
    <w:rsid w:val="0030430A"/>
    <w:rsid w:val="00304D3C"/>
    <w:rsid w:val="00305B00"/>
    <w:rsid w:val="00311704"/>
    <w:rsid w:val="00313A49"/>
    <w:rsid w:val="00317016"/>
    <w:rsid w:val="00321C19"/>
    <w:rsid w:val="0032507F"/>
    <w:rsid w:val="00330811"/>
    <w:rsid w:val="00331012"/>
    <w:rsid w:val="00332C89"/>
    <w:rsid w:val="003338C5"/>
    <w:rsid w:val="00335821"/>
    <w:rsid w:val="00337353"/>
    <w:rsid w:val="003433B3"/>
    <w:rsid w:val="00346672"/>
    <w:rsid w:val="00346D32"/>
    <w:rsid w:val="00351E3E"/>
    <w:rsid w:val="003602D8"/>
    <w:rsid w:val="0036389D"/>
    <w:rsid w:val="003666E2"/>
    <w:rsid w:val="00370DD1"/>
    <w:rsid w:val="00372582"/>
    <w:rsid w:val="003746EA"/>
    <w:rsid w:val="00375BE3"/>
    <w:rsid w:val="0038142F"/>
    <w:rsid w:val="00381FEA"/>
    <w:rsid w:val="0038287F"/>
    <w:rsid w:val="0038308F"/>
    <w:rsid w:val="003847E4"/>
    <w:rsid w:val="00385552"/>
    <w:rsid w:val="0038589C"/>
    <w:rsid w:val="00387AFB"/>
    <w:rsid w:val="00395017"/>
    <w:rsid w:val="0039576D"/>
    <w:rsid w:val="00395A05"/>
    <w:rsid w:val="00396AE2"/>
    <w:rsid w:val="003A12B0"/>
    <w:rsid w:val="003A36BB"/>
    <w:rsid w:val="003A3D8D"/>
    <w:rsid w:val="003B079E"/>
    <w:rsid w:val="003B0A7B"/>
    <w:rsid w:val="003B29C3"/>
    <w:rsid w:val="003B29ED"/>
    <w:rsid w:val="003B320B"/>
    <w:rsid w:val="003B4074"/>
    <w:rsid w:val="003B55B7"/>
    <w:rsid w:val="003B652A"/>
    <w:rsid w:val="003B7EBB"/>
    <w:rsid w:val="003C24D6"/>
    <w:rsid w:val="003C33D4"/>
    <w:rsid w:val="003C3BAA"/>
    <w:rsid w:val="003C6398"/>
    <w:rsid w:val="003D029E"/>
    <w:rsid w:val="003D1490"/>
    <w:rsid w:val="003D3BEE"/>
    <w:rsid w:val="003D5C2F"/>
    <w:rsid w:val="003E0861"/>
    <w:rsid w:val="003E2A80"/>
    <w:rsid w:val="003E5E51"/>
    <w:rsid w:val="003F007B"/>
    <w:rsid w:val="003F480B"/>
    <w:rsid w:val="003F5902"/>
    <w:rsid w:val="00402197"/>
    <w:rsid w:val="0040288B"/>
    <w:rsid w:val="00402A03"/>
    <w:rsid w:val="004108B3"/>
    <w:rsid w:val="00410A27"/>
    <w:rsid w:val="004132E2"/>
    <w:rsid w:val="0041428A"/>
    <w:rsid w:val="00424503"/>
    <w:rsid w:val="00426349"/>
    <w:rsid w:val="0042724D"/>
    <w:rsid w:val="00430688"/>
    <w:rsid w:val="0043372F"/>
    <w:rsid w:val="00433ADD"/>
    <w:rsid w:val="00434CE6"/>
    <w:rsid w:val="004416D9"/>
    <w:rsid w:val="00444402"/>
    <w:rsid w:val="004500C1"/>
    <w:rsid w:val="00456374"/>
    <w:rsid w:val="0045711F"/>
    <w:rsid w:val="00460913"/>
    <w:rsid w:val="004609D5"/>
    <w:rsid w:val="004619A4"/>
    <w:rsid w:val="00463DD5"/>
    <w:rsid w:val="00467A7A"/>
    <w:rsid w:val="004750CC"/>
    <w:rsid w:val="004777F1"/>
    <w:rsid w:val="00480A8C"/>
    <w:rsid w:val="00481FC8"/>
    <w:rsid w:val="00485471"/>
    <w:rsid w:val="0048778A"/>
    <w:rsid w:val="004878A7"/>
    <w:rsid w:val="004919DE"/>
    <w:rsid w:val="004943C6"/>
    <w:rsid w:val="004957E6"/>
    <w:rsid w:val="00495923"/>
    <w:rsid w:val="00496C25"/>
    <w:rsid w:val="004A0ED3"/>
    <w:rsid w:val="004B162E"/>
    <w:rsid w:val="004C0EF9"/>
    <w:rsid w:val="004C274B"/>
    <w:rsid w:val="004C7B17"/>
    <w:rsid w:val="004D0DAD"/>
    <w:rsid w:val="004D1D12"/>
    <w:rsid w:val="004D25A6"/>
    <w:rsid w:val="004D3FFF"/>
    <w:rsid w:val="004D4957"/>
    <w:rsid w:val="004D5818"/>
    <w:rsid w:val="004E0639"/>
    <w:rsid w:val="004E0F90"/>
    <w:rsid w:val="004E255C"/>
    <w:rsid w:val="004E4E13"/>
    <w:rsid w:val="004E519D"/>
    <w:rsid w:val="004E5E99"/>
    <w:rsid w:val="004F0E8B"/>
    <w:rsid w:val="004F2B2B"/>
    <w:rsid w:val="004F6912"/>
    <w:rsid w:val="004F768B"/>
    <w:rsid w:val="00501A1F"/>
    <w:rsid w:val="00502826"/>
    <w:rsid w:val="00503433"/>
    <w:rsid w:val="005074FE"/>
    <w:rsid w:val="00510F05"/>
    <w:rsid w:val="0051296A"/>
    <w:rsid w:val="00512C48"/>
    <w:rsid w:val="005136F5"/>
    <w:rsid w:val="005165D1"/>
    <w:rsid w:val="00516C58"/>
    <w:rsid w:val="00517E7E"/>
    <w:rsid w:val="00530ED4"/>
    <w:rsid w:val="0053579F"/>
    <w:rsid w:val="00535912"/>
    <w:rsid w:val="00535938"/>
    <w:rsid w:val="00542004"/>
    <w:rsid w:val="005430B1"/>
    <w:rsid w:val="005443D3"/>
    <w:rsid w:val="0054543E"/>
    <w:rsid w:val="00553C46"/>
    <w:rsid w:val="00554493"/>
    <w:rsid w:val="00555D62"/>
    <w:rsid w:val="00557CE9"/>
    <w:rsid w:val="00562663"/>
    <w:rsid w:val="00563F09"/>
    <w:rsid w:val="00570D07"/>
    <w:rsid w:val="005714DF"/>
    <w:rsid w:val="00572CCC"/>
    <w:rsid w:val="00574583"/>
    <w:rsid w:val="00574B71"/>
    <w:rsid w:val="00575516"/>
    <w:rsid w:val="005807DA"/>
    <w:rsid w:val="00581363"/>
    <w:rsid w:val="00581F6E"/>
    <w:rsid w:val="00585F70"/>
    <w:rsid w:val="00587891"/>
    <w:rsid w:val="00593C0E"/>
    <w:rsid w:val="005956A9"/>
    <w:rsid w:val="00596384"/>
    <w:rsid w:val="00596658"/>
    <w:rsid w:val="005A0EDD"/>
    <w:rsid w:val="005A1EE0"/>
    <w:rsid w:val="005A21AD"/>
    <w:rsid w:val="005A3BFB"/>
    <w:rsid w:val="005A650B"/>
    <w:rsid w:val="005A6F9A"/>
    <w:rsid w:val="005B22CE"/>
    <w:rsid w:val="005B3C94"/>
    <w:rsid w:val="005B74BA"/>
    <w:rsid w:val="005C1E96"/>
    <w:rsid w:val="005C2AF3"/>
    <w:rsid w:val="005C4C45"/>
    <w:rsid w:val="005C6F1B"/>
    <w:rsid w:val="005D0344"/>
    <w:rsid w:val="005D0388"/>
    <w:rsid w:val="005D1069"/>
    <w:rsid w:val="005D470C"/>
    <w:rsid w:val="005D5338"/>
    <w:rsid w:val="005D57D0"/>
    <w:rsid w:val="005D5BCB"/>
    <w:rsid w:val="005D78B3"/>
    <w:rsid w:val="005D7963"/>
    <w:rsid w:val="005E223E"/>
    <w:rsid w:val="005E59CF"/>
    <w:rsid w:val="005E782B"/>
    <w:rsid w:val="005F0502"/>
    <w:rsid w:val="005F4154"/>
    <w:rsid w:val="005F44F5"/>
    <w:rsid w:val="005F6ECA"/>
    <w:rsid w:val="006020E1"/>
    <w:rsid w:val="00602BBB"/>
    <w:rsid w:val="00604B80"/>
    <w:rsid w:val="006062F5"/>
    <w:rsid w:val="006110C4"/>
    <w:rsid w:val="00616628"/>
    <w:rsid w:val="00621261"/>
    <w:rsid w:val="00621CC6"/>
    <w:rsid w:val="00623C98"/>
    <w:rsid w:val="00623DB9"/>
    <w:rsid w:val="006241F6"/>
    <w:rsid w:val="006248A6"/>
    <w:rsid w:val="006335AA"/>
    <w:rsid w:val="006365F7"/>
    <w:rsid w:val="00636681"/>
    <w:rsid w:val="00636B17"/>
    <w:rsid w:val="0063710D"/>
    <w:rsid w:val="00642A20"/>
    <w:rsid w:val="0064319C"/>
    <w:rsid w:val="00645AD6"/>
    <w:rsid w:val="00645E77"/>
    <w:rsid w:val="006468BB"/>
    <w:rsid w:val="00650248"/>
    <w:rsid w:val="00657D63"/>
    <w:rsid w:val="00660998"/>
    <w:rsid w:val="00660B52"/>
    <w:rsid w:val="00664676"/>
    <w:rsid w:val="00667F1B"/>
    <w:rsid w:val="006722B9"/>
    <w:rsid w:val="00674044"/>
    <w:rsid w:val="00674421"/>
    <w:rsid w:val="00674DA8"/>
    <w:rsid w:val="00676CB1"/>
    <w:rsid w:val="006776DE"/>
    <w:rsid w:val="0069110F"/>
    <w:rsid w:val="00691C4B"/>
    <w:rsid w:val="006939A9"/>
    <w:rsid w:val="006966F8"/>
    <w:rsid w:val="00696D6C"/>
    <w:rsid w:val="006A4DFB"/>
    <w:rsid w:val="006B098C"/>
    <w:rsid w:val="006B38BC"/>
    <w:rsid w:val="006B489D"/>
    <w:rsid w:val="006B6AE4"/>
    <w:rsid w:val="006B79CD"/>
    <w:rsid w:val="006C11C4"/>
    <w:rsid w:val="006C43C7"/>
    <w:rsid w:val="006C4BB4"/>
    <w:rsid w:val="006D12E2"/>
    <w:rsid w:val="006D1E9D"/>
    <w:rsid w:val="006D3BB3"/>
    <w:rsid w:val="006E0E6A"/>
    <w:rsid w:val="006E5A5E"/>
    <w:rsid w:val="006E7A36"/>
    <w:rsid w:val="006F36E2"/>
    <w:rsid w:val="006F4397"/>
    <w:rsid w:val="006F447E"/>
    <w:rsid w:val="006F46E9"/>
    <w:rsid w:val="006F666F"/>
    <w:rsid w:val="00701FB7"/>
    <w:rsid w:val="007038B6"/>
    <w:rsid w:val="007062AC"/>
    <w:rsid w:val="00713FAC"/>
    <w:rsid w:val="00714747"/>
    <w:rsid w:val="00716C7A"/>
    <w:rsid w:val="007171C9"/>
    <w:rsid w:val="007176F6"/>
    <w:rsid w:val="00721421"/>
    <w:rsid w:val="00721B91"/>
    <w:rsid w:val="00721D0A"/>
    <w:rsid w:val="00723AF5"/>
    <w:rsid w:val="007475AA"/>
    <w:rsid w:val="00747660"/>
    <w:rsid w:val="007541EF"/>
    <w:rsid w:val="00756D9B"/>
    <w:rsid w:val="007578C5"/>
    <w:rsid w:val="00762637"/>
    <w:rsid w:val="007657D3"/>
    <w:rsid w:val="007679E7"/>
    <w:rsid w:val="00770001"/>
    <w:rsid w:val="0077086A"/>
    <w:rsid w:val="00773596"/>
    <w:rsid w:val="007769B0"/>
    <w:rsid w:val="00777A94"/>
    <w:rsid w:val="0078347D"/>
    <w:rsid w:val="00783C84"/>
    <w:rsid w:val="00785C4C"/>
    <w:rsid w:val="00786F73"/>
    <w:rsid w:val="00791BD2"/>
    <w:rsid w:val="00795BC5"/>
    <w:rsid w:val="00796BC0"/>
    <w:rsid w:val="00797425"/>
    <w:rsid w:val="0079791E"/>
    <w:rsid w:val="007A2561"/>
    <w:rsid w:val="007A639B"/>
    <w:rsid w:val="007A6B65"/>
    <w:rsid w:val="007B15ED"/>
    <w:rsid w:val="007B2BC5"/>
    <w:rsid w:val="007B6F11"/>
    <w:rsid w:val="007B7C65"/>
    <w:rsid w:val="007C0AF1"/>
    <w:rsid w:val="007C382A"/>
    <w:rsid w:val="007C4358"/>
    <w:rsid w:val="007C66FE"/>
    <w:rsid w:val="007D0408"/>
    <w:rsid w:val="007D0CA5"/>
    <w:rsid w:val="007D6B74"/>
    <w:rsid w:val="007E1FFC"/>
    <w:rsid w:val="007E2DFD"/>
    <w:rsid w:val="007E4CD7"/>
    <w:rsid w:val="007E646C"/>
    <w:rsid w:val="007E7D78"/>
    <w:rsid w:val="007E7FFA"/>
    <w:rsid w:val="007F0839"/>
    <w:rsid w:val="007F4BDF"/>
    <w:rsid w:val="007F4FD3"/>
    <w:rsid w:val="00802ADB"/>
    <w:rsid w:val="00803C7E"/>
    <w:rsid w:val="00804CD4"/>
    <w:rsid w:val="00804F06"/>
    <w:rsid w:val="00805F57"/>
    <w:rsid w:val="00806B83"/>
    <w:rsid w:val="00807288"/>
    <w:rsid w:val="008130FB"/>
    <w:rsid w:val="0081464F"/>
    <w:rsid w:val="008146F3"/>
    <w:rsid w:val="00817E4B"/>
    <w:rsid w:val="008232D3"/>
    <w:rsid w:val="008243C9"/>
    <w:rsid w:val="00826AB3"/>
    <w:rsid w:val="00833964"/>
    <w:rsid w:val="008340E4"/>
    <w:rsid w:val="00840572"/>
    <w:rsid w:val="00840BE6"/>
    <w:rsid w:val="00841D67"/>
    <w:rsid w:val="008449A3"/>
    <w:rsid w:val="00844CC8"/>
    <w:rsid w:val="0084660B"/>
    <w:rsid w:val="00860CF6"/>
    <w:rsid w:val="00861624"/>
    <w:rsid w:val="00862D39"/>
    <w:rsid w:val="00863E6C"/>
    <w:rsid w:val="00864442"/>
    <w:rsid w:val="00867455"/>
    <w:rsid w:val="00867F54"/>
    <w:rsid w:val="008705B9"/>
    <w:rsid w:val="00871F81"/>
    <w:rsid w:val="008738D7"/>
    <w:rsid w:val="00877D41"/>
    <w:rsid w:val="008839B0"/>
    <w:rsid w:val="008928D8"/>
    <w:rsid w:val="00893363"/>
    <w:rsid w:val="00893DEC"/>
    <w:rsid w:val="008957B4"/>
    <w:rsid w:val="008A11C7"/>
    <w:rsid w:val="008A1C0C"/>
    <w:rsid w:val="008A272E"/>
    <w:rsid w:val="008A32A6"/>
    <w:rsid w:val="008A62D9"/>
    <w:rsid w:val="008A727F"/>
    <w:rsid w:val="008B1726"/>
    <w:rsid w:val="008B49FE"/>
    <w:rsid w:val="008B6640"/>
    <w:rsid w:val="008B6CAC"/>
    <w:rsid w:val="008C4FD2"/>
    <w:rsid w:val="008C58AC"/>
    <w:rsid w:val="008D55F8"/>
    <w:rsid w:val="008E35B9"/>
    <w:rsid w:val="008E3635"/>
    <w:rsid w:val="008F05D4"/>
    <w:rsid w:val="008F062C"/>
    <w:rsid w:val="008F1BAE"/>
    <w:rsid w:val="008F2193"/>
    <w:rsid w:val="008F2CF0"/>
    <w:rsid w:val="008F3673"/>
    <w:rsid w:val="00901F36"/>
    <w:rsid w:val="0090494C"/>
    <w:rsid w:val="0090722C"/>
    <w:rsid w:val="00911759"/>
    <w:rsid w:val="00914B92"/>
    <w:rsid w:val="00921199"/>
    <w:rsid w:val="009240D5"/>
    <w:rsid w:val="00924486"/>
    <w:rsid w:val="0092477A"/>
    <w:rsid w:val="0092639D"/>
    <w:rsid w:val="00927B9C"/>
    <w:rsid w:val="00934013"/>
    <w:rsid w:val="00935872"/>
    <w:rsid w:val="00935CB3"/>
    <w:rsid w:val="00940028"/>
    <w:rsid w:val="009412C5"/>
    <w:rsid w:val="00942615"/>
    <w:rsid w:val="00946163"/>
    <w:rsid w:val="0094656E"/>
    <w:rsid w:val="00946AE1"/>
    <w:rsid w:val="00946D29"/>
    <w:rsid w:val="00951F25"/>
    <w:rsid w:val="00952E32"/>
    <w:rsid w:val="00953D39"/>
    <w:rsid w:val="00954D32"/>
    <w:rsid w:val="009613F4"/>
    <w:rsid w:val="00962525"/>
    <w:rsid w:val="009633DD"/>
    <w:rsid w:val="00964CD8"/>
    <w:rsid w:val="009677F0"/>
    <w:rsid w:val="009707C7"/>
    <w:rsid w:val="00973327"/>
    <w:rsid w:val="009866FD"/>
    <w:rsid w:val="0099161F"/>
    <w:rsid w:val="009973D0"/>
    <w:rsid w:val="0099781D"/>
    <w:rsid w:val="009A0D0D"/>
    <w:rsid w:val="009A1B33"/>
    <w:rsid w:val="009A3839"/>
    <w:rsid w:val="009B3B71"/>
    <w:rsid w:val="009B618C"/>
    <w:rsid w:val="009B71B6"/>
    <w:rsid w:val="009B79CE"/>
    <w:rsid w:val="009C5420"/>
    <w:rsid w:val="009D219E"/>
    <w:rsid w:val="009D27E3"/>
    <w:rsid w:val="009D3764"/>
    <w:rsid w:val="009D60EE"/>
    <w:rsid w:val="009D7A22"/>
    <w:rsid w:val="009E09F9"/>
    <w:rsid w:val="009E3D0E"/>
    <w:rsid w:val="009E428E"/>
    <w:rsid w:val="009E64B9"/>
    <w:rsid w:val="009E6AB1"/>
    <w:rsid w:val="009F03F7"/>
    <w:rsid w:val="009F0994"/>
    <w:rsid w:val="009F4929"/>
    <w:rsid w:val="009F4D6A"/>
    <w:rsid w:val="009F4EE2"/>
    <w:rsid w:val="009F4F79"/>
    <w:rsid w:val="009F5F08"/>
    <w:rsid w:val="009F68F6"/>
    <w:rsid w:val="009F6F0F"/>
    <w:rsid w:val="009F77E3"/>
    <w:rsid w:val="00A01784"/>
    <w:rsid w:val="00A02509"/>
    <w:rsid w:val="00A03343"/>
    <w:rsid w:val="00A05E02"/>
    <w:rsid w:val="00A07DC2"/>
    <w:rsid w:val="00A156F2"/>
    <w:rsid w:val="00A158A2"/>
    <w:rsid w:val="00A1650A"/>
    <w:rsid w:val="00A1796C"/>
    <w:rsid w:val="00A20660"/>
    <w:rsid w:val="00A2329D"/>
    <w:rsid w:val="00A2365F"/>
    <w:rsid w:val="00A241BE"/>
    <w:rsid w:val="00A27B08"/>
    <w:rsid w:val="00A306CE"/>
    <w:rsid w:val="00A31A95"/>
    <w:rsid w:val="00A334B8"/>
    <w:rsid w:val="00A36027"/>
    <w:rsid w:val="00A37366"/>
    <w:rsid w:val="00A453B2"/>
    <w:rsid w:val="00A50187"/>
    <w:rsid w:val="00A54DB7"/>
    <w:rsid w:val="00A6139C"/>
    <w:rsid w:val="00A62DDD"/>
    <w:rsid w:val="00A65626"/>
    <w:rsid w:val="00A741DF"/>
    <w:rsid w:val="00A75F28"/>
    <w:rsid w:val="00A8138A"/>
    <w:rsid w:val="00A839E7"/>
    <w:rsid w:val="00A87579"/>
    <w:rsid w:val="00A91643"/>
    <w:rsid w:val="00A95C59"/>
    <w:rsid w:val="00A97B41"/>
    <w:rsid w:val="00AA0E4D"/>
    <w:rsid w:val="00AA72D7"/>
    <w:rsid w:val="00AB2BBA"/>
    <w:rsid w:val="00AB5D82"/>
    <w:rsid w:val="00AC2A2B"/>
    <w:rsid w:val="00AC3369"/>
    <w:rsid w:val="00AC6DDF"/>
    <w:rsid w:val="00AD094E"/>
    <w:rsid w:val="00AD710D"/>
    <w:rsid w:val="00AE32F8"/>
    <w:rsid w:val="00AE7760"/>
    <w:rsid w:val="00AE7BFD"/>
    <w:rsid w:val="00AF4FDF"/>
    <w:rsid w:val="00AF5414"/>
    <w:rsid w:val="00AF5559"/>
    <w:rsid w:val="00AF5560"/>
    <w:rsid w:val="00AF59A3"/>
    <w:rsid w:val="00AF5E74"/>
    <w:rsid w:val="00AF5FF5"/>
    <w:rsid w:val="00AF7420"/>
    <w:rsid w:val="00AF7F26"/>
    <w:rsid w:val="00B02CC7"/>
    <w:rsid w:val="00B069A3"/>
    <w:rsid w:val="00B110F3"/>
    <w:rsid w:val="00B15A43"/>
    <w:rsid w:val="00B219C0"/>
    <w:rsid w:val="00B21E5F"/>
    <w:rsid w:val="00B235E9"/>
    <w:rsid w:val="00B24F27"/>
    <w:rsid w:val="00B35610"/>
    <w:rsid w:val="00B4100F"/>
    <w:rsid w:val="00B422E5"/>
    <w:rsid w:val="00B4505E"/>
    <w:rsid w:val="00B45E29"/>
    <w:rsid w:val="00B462CD"/>
    <w:rsid w:val="00B51279"/>
    <w:rsid w:val="00B5526F"/>
    <w:rsid w:val="00B57295"/>
    <w:rsid w:val="00B604EF"/>
    <w:rsid w:val="00B624CD"/>
    <w:rsid w:val="00B62BEE"/>
    <w:rsid w:val="00B63FD6"/>
    <w:rsid w:val="00B6618E"/>
    <w:rsid w:val="00B66C42"/>
    <w:rsid w:val="00B67517"/>
    <w:rsid w:val="00B67FAE"/>
    <w:rsid w:val="00B70793"/>
    <w:rsid w:val="00B71D31"/>
    <w:rsid w:val="00B81830"/>
    <w:rsid w:val="00B854A2"/>
    <w:rsid w:val="00B8560A"/>
    <w:rsid w:val="00B86155"/>
    <w:rsid w:val="00B872CB"/>
    <w:rsid w:val="00B9274B"/>
    <w:rsid w:val="00B931CA"/>
    <w:rsid w:val="00B94FD7"/>
    <w:rsid w:val="00B97DBD"/>
    <w:rsid w:val="00BA5160"/>
    <w:rsid w:val="00BA6355"/>
    <w:rsid w:val="00BA728E"/>
    <w:rsid w:val="00BB1683"/>
    <w:rsid w:val="00BB36B3"/>
    <w:rsid w:val="00BB3FC1"/>
    <w:rsid w:val="00BB7637"/>
    <w:rsid w:val="00BC1059"/>
    <w:rsid w:val="00BD1AFC"/>
    <w:rsid w:val="00BD6D47"/>
    <w:rsid w:val="00BE7628"/>
    <w:rsid w:val="00BF094B"/>
    <w:rsid w:val="00BF0F80"/>
    <w:rsid w:val="00BF0F83"/>
    <w:rsid w:val="00BF4A1B"/>
    <w:rsid w:val="00BF5692"/>
    <w:rsid w:val="00BF5C33"/>
    <w:rsid w:val="00BF7D66"/>
    <w:rsid w:val="00C00723"/>
    <w:rsid w:val="00C01A34"/>
    <w:rsid w:val="00C104ED"/>
    <w:rsid w:val="00C11268"/>
    <w:rsid w:val="00C12361"/>
    <w:rsid w:val="00C15002"/>
    <w:rsid w:val="00C20C85"/>
    <w:rsid w:val="00C20CF5"/>
    <w:rsid w:val="00C21518"/>
    <w:rsid w:val="00C24FE5"/>
    <w:rsid w:val="00C26626"/>
    <w:rsid w:val="00C30076"/>
    <w:rsid w:val="00C312D6"/>
    <w:rsid w:val="00C33B22"/>
    <w:rsid w:val="00C407A8"/>
    <w:rsid w:val="00C45609"/>
    <w:rsid w:val="00C5434C"/>
    <w:rsid w:val="00C57240"/>
    <w:rsid w:val="00C60A1F"/>
    <w:rsid w:val="00C610CC"/>
    <w:rsid w:val="00C62A88"/>
    <w:rsid w:val="00C65178"/>
    <w:rsid w:val="00C71513"/>
    <w:rsid w:val="00C7476C"/>
    <w:rsid w:val="00C761A8"/>
    <w:rsid w:val="00C779BD"/>
    <w:rsid w:val="00C817CA"/>
    <w:rsid w:val="00C819F1"/>
    <w:rsid w:val="00C828C3"/>
    <w:rsid w:val="00C871F4"/>
    <w:rsid w:val="00C902D9"/>
    <w:rsid w:val="00C926DD"/>
    <w:rsid w:val="00C942BF"/>
    <w:rsid w:val="00C94CF6"/>
    <w:rsid w:val="00C956EF"/>
    <w:rsid w:val="00CA0370"/>
    <w:rsid w:val="00CA32CF"/>
    <w:rsid w:val="00CA424F"/>
    <w:rsid w:val="00CA4270"/>
    <w:rsid w:val="00CA55D7"/>
    <w:rsid w:val="00CB1944"/>
    <w:rsid w:val="00CB3128"/>
    <w:rsid w:val="00CB6E51"/>
    <w:rsid w:val="00CC16CB"/>
    <w:rsid w:val="00CC1FC9"/>
    <w:rsid w:val="00CC228F"/>
    <w:rsid w:val="00CC7453"/>
    <w:rsid w:val="00CC7642"/>
    <w:rsid w:val="00CD1E77"/>
    <w:rsid w:val="00CD3437"/>
    <w:rsid w:val="00CD5672"/>
    <w:rsid w:val="00CD71B2"/>
    <w:rsid w:val="00CD7A9E"/>
    <w:rsid w:val="00CD7C26"/>
    <w:rsid w:val="00CE12B8"/>
    <w:rsid w:val="00CE2BC5"/>
    <w:rsid w:val="00CE35DA"/>
    <w:rsid w:val="00CE65CF"/>
    <w:rsid w:val="00CE6986"/>
    <w:rsid w:val="00CF2767"/>
    <w:rsid w:val="00CF3865"/>
    <w:rsid w:val="00CF3C45"/>
    <w:rsid w:val="00CF3FAD"/>
    <w:rsid w:val="00CF584F"/>
    <w:rsid w:val="00D01807"/>
    <w:rsid w:val="00D02453"/>
    <w:rsid w:val="00D02CBB"/>
    <w:rsid w:val="00D03B8A"/>
    <w:rsid w:val="00D04D3F"/>
    <w:rsid w:val="00D10710"/>
    <w:rsid w:val="00D112A6"/>
    <w:rsid w:val="00D128D8"/>
    <w:rsid w:val="00D21EEA"/>
    <w:rsid w:val="00D23E89"/>
    <w:rsid w:val="00D24DC7"/>
    <w:rsid w:val="00D30190"/>
    <w:rsid w:val="00D335D0"/>
    <w:rsid w:val="00D36D99"/>
    <w:rsid w:val="00D4048E"/>
    <w:rsid w:val="00D41778"/>
    <w:rsid w:val="00D4342E"/>
    <w:rsid w:val="00D45420"/>
    <w:rsid w:val="00D51D0A"/>
    <w:rsid w:val="00D526F0"/>
    <w:rsid w:val="00D53191"/>
    <w:rsid w:val="00D55ABE"/>
    <w:rsid w:val="00D57402"/>
    <w:rsid w:val="00D61A00"/>
    <w:rsid w:val="00D61AD8"/>
    <w:rsid w:val="00D635A1"/>
    <w:rsid w:val="00D64AC9"/>
    <w:rsid w:val="00D71DEE"/>
    <w:rsid w:val="00D72838"/>
    <w:rsid w:val="00D729DC"/>
    <w:rsid w:val="00D75492"/>
    <w:rsid w:val="00D75D84"/>
    <w:rsid w:val="00D77BAE"/>
    <w:rsid w:val="00D810C0"/>
    <w:rsid w:val="00D8143B"/>
    <w:rsid w:val="00D830BC"/>
    <w:rsid w:val="00D8376E"/>
    <w:rsid w:val="00D913AE"/>
    <w:rsid w:val="00D92A75"/>
    <w:rsid w:val="00D93240"/>
    <w:rsid w:val="00D95073"/>
    <w:rsid w:val="00DA038F"/>
    <w:rsid w:val="00DA0E66"/>
    <w:rsid w:val="00DA1620"/>
    <w:rsid w:val="00DA1F31"/>
    <w:rsid w:val="00DA2DE6"/>
    <w:rsid w:val="00DA52C9"/>
    <w:rsid w:val="00DA5431"/>
    <w:rsid w:val="00DA6494"/>
    <w:rsid w:val="00DB1A6A"/>
    <w:rsid w:val="00DB1BB3"/>
    <w:rsid w:val="00DB2DBA"/>
    <w:rsid w:val="00DB63E9"/>
    <w:rsid w:val="00DC0930"/>
    <w:rsid w:val="00DC160F"/>
    <w:rsid w:val="00DC3A6C"/>
    <w:rsid w:val="00DC7731"/>
    <w:rsid w:val="00DD0E90"/>
    <w:rsid w:val="00DD0F9F"/>
    <w:rsid w:val="00DD240A"/>
    <w:rsid w:val="00DE33DB"/>
    <w:rsid w:val="00DE441C"/>
    <w:rsid w:val="00DE4A33"/>
    <w:rsid w:val="00DE4CF1"/>
    <w:rsid w:val="00DF1436"/>
    <w:rsid w:val="00DF34B7"/>
    <w:rsid w:val="00DF3FDD"/>
    <w:rsid w:val="00DF4CF5"/>
    <w:rsid w:val="00E052C1"/>
    <w:rsid w:val="00E15663"/>
    <w:rsid w:val="00E20A8B"/>
    <w:rsid w:val="00E21773"/>
    <w:rsid w:val="00E240CE"/>
    <w:rsid w:val="00E2679B"/>
    <w:rsid w:val="00E30325"/>
    <w:rsid w:val="00E30F0F"/>
    <w:rsid w:val="00E31D16"/>
    <w:rsid w:val="00E37A0E"/>
    <w:rsid w:val="00E407A2"/>
    <w:rsid w:val="00E4248C"/>
    <w:rsid w:val="00E45097"/>
    <w:rsid w:val="00E5139F"/>
    <w:rsid w:val="00E57CCE"/>
    <w:rsid w:val="00E603BE"/>
    <w:rsid w:val="00E607B3"/>
    <w:rsid w:val="00E61528"/>
    <w:rsid w:val="00E632A2"/>
    <w:rsid w:val="00E64AED"/>
    <w:rsid w:val="00E750BF"/>
    <w:rsid w:val="00E7657B"/>
    <w:rsid w:val="00E816DB"/>
    <w:rsid w:val="00E82153"/>
    <w:rsid w:val="00E866B0"/>
    <w:rsid w:val="00E93497"/>
    <w:rsid w:val="00EA1A24"/>
    <w:rsid w:val="00EA4197"/>
    <w:rsid w:val="00EA58AE"/>
    <w:rsid w:val="00EA6440"/>
    <w:rsid w:val="00EA6DCF"/>
    <w:rsid w:val="00EB4906"/>
    <w:rsid w:val="00EB4EFB"/>
    <w:rsid w:val="00EB5F7E"/>
    <w:rsid w:val="00EB6179"/>
    <w:rsid w:val="00EB7092"/>
    <w:rsid w:val="00EC4CEB"/>
    <w:rsid w:val="00EC5B36"/>
    <w:rsid w:val="00ED376D"/>
    <w:rsid w:val="00ED5FAA"/>
    <w:rsid w:val="00ED6A24"/>
    <w:rsid w:val="00ED6D7D"/>
    <w:rsid w:val="00EE07A6"/>
    <w:rsid w:val="00EE546F"/>
    <w:rsid w:val="00F01303"/>
    <w:rsid w:val="00F07295"/>
    <w:rsid w:val="00F10C3C"/>
    <w:rsid w:val="00F15D9C"/>
    <w:rsid w:val="00F17904"/>
    <w:rsid w:val="00F23067"/>
    <w:rsid w:val="00F246F2"/>
    <w:rsid w:val="00F2652A"/>
    <w:rsid w:val="00F308B1"/>
    <w:rsid w:val="00F30E1B"/>
    <w:rsid w:val="00F41349"/>
    <w:rsid w:val="00F44803"/>
    <w:rsid w:val="00F44972"/>
    <w:rsid w:val="00F50A64"/>
    <w:rsid w:val="00F539EB"/>
    <w:rsid w:val="00F5513D"/>
    <w:rsid w:val="00F6367E"/>
    <w:rsid w:val="00F65A4B"/>
    <w:rsid w:val="00F6693E"/>
    <w:rsid w:val="00F66DB7"/>
    <w:rsid w:val="00F677B6"/>
    <w:rsid w:val="00F73041"/>
    <w:rsid w:val="00F732CC"/>
    <w:rsid w:val="00F74A67"/>
    <w:rsid w:val="00F74DB3"/>
    <w:rsid w:val="00F76A20"/>
    <w:rsid w:val="00F80765"/>
    <w:rsid w:val="00F8382F"/>
    <w:rsid w:val="00F83FAF"/>
    <w:rsid w:val="00F87409"/>
    <w:rsid w:val="00F9217C"/>
    <w:rsid w:val="00F9243C"/>
    <w:rsid w:val="00F92761"/>
    <w:rsid w:val="00F968B3"/>
    <w:rsid w:val="00F96FAE"/>
    <w:rsid w:val="00FA07F9"/>
    <w:rsid w:val="00FA107C"/>
    <w:rsid w:val="00FB64E1"/>
    <w:rsid w:val="00FC067A"/>
    <w:rsid w:val="00FE1B86"/>
    <w:rsid w:val="00FE3E37"/>
    <w:rsid w:val="00FE57E1"/>
    <w:rsid w:val="00FE63ED"/>
    <w:rsid w:val="00FF00EA"/>
    <w:rsid w:val="00FF16F8"/>
    <w:rsid w:val="00FF33C2"/>
    <w:rsid w:val="00FF59A0"/>
    <w:rsid w:val="00FF5C82"/>
    <w:rsid w:val="00FF5DC0"/>
    <w:rsid w:val="0B8E345D"/>
    <w:rsid w:val="0E7C6FE6"/>
    <w:rsid w:val="0EB776DA"/>
    <w:rsid w:val="2171607B"/>
    <w:rsid w:val="22BD1D8E"/>
    <w:rsid w:val="31F362B4"/>
    <w:rsid w:val="35501FCC"/>
    <w:rsid w:val="516947A3"/>
    <w:rsid w:val="552218E2"/>
    <w:rsid w:val="59125FC4"/>
    <w:rsid w:val="654B1C9A"/>
    <w:rsid w:val="68A4742B"/>
    <w:rsid w:val="6E6F20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link w:val="21"/>
    <w:qFormat/>
    <w:uiPriority w:val="0"/>
    <w:pPr>
      <w:keepNext/>
      <w:keepLines/>
      <w:spacing w:before="260" w:after="260" w:line="413" w:lineRule="auto"/>
      <w:outlineLvl w:val="2"/>
    </w:pPr>
    <w:rPr>
      <w:b/>
      <w:bCs/>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qFormat/>
    <w:uiPriority w:val="0"/>
    <w:pPr>
      <w:jc w:val="left"/>
    </w:pPr>
    <w:rPr>
      <w:lang w:val="zh-CN"/>
    </w:rPr>
  </w:style>
  <w:style w:type="paragraph" w:styleId="4">
    <w:name w:val="Balloon Text"/>
    <w:basedOn w:val="1"/>
    <w:semiHidden/>
    <w:qFormat/>
    <w:uiPriority w:val="0"/>
    <w:rPr>
      <w:sz w:val="18"/>
      <w:szCs w:val="18"/>
    </w:rPr>
  </w:style>
  <w:style w:type="paragraph" w:styleId="5">
    <w:name w:val="footer"/>
    <w:basedOn w:val="1"/>
    <w:link w:val="13"/>
    <w:qFormat/>
    <w:uiPriority w:val="99"/>
    <w:pPr>
      <w:tabs>
        <w:tab w:val="center" w:pos="4153"/>
        <w:tab w:val="right" w:pos="8306"/>
      </w:tabs>
      <w:snapToGrid w:val="0"/>
      <w:jc w:val="left"/>
    </w:pPr>
    <w:rPr>
      <w:rFonts w:ascii="Calibri" w:hAnsi="Calibri"/>
      <w:kern w:val="0"/>
      <w:sz w:val="18"/>
      <w:szCs w:val="18"/>
      <w:lang w:val="zh-CN"/>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rFonts w:ascii="Calibri" w:hAnsi="Calibri"/>
      <w:kern w:val="0"/>
      <w:sz w:val="18"/>
      <w:szCs w:val="18"/>
      <w:lang w:val="zh-CN"/>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annotation subject"/>
    <w:basedOn w:val="3"/>
    <w:next w:val="3"/>
    <w:link w:val="18"/>
    <w:qFormat/>
    <w:uiPriority w:val="0"/>
    <w:rPr>
      <w:b/>
      <w:bCs/>
    </w:rPr>
  </w:style>
  <w:style w:type="character" w:styleId="11">
    <w:name w:val="Hyperlink"/>
    <w:qFormat/>
    <w:uiPriority w:val="0"/>
    <w:rPr>
      <w:color w:val="0000FF"/>
      <w:u w:val="single"/>
    </w:rPr>
  </w:style>
  <w:style w:type="character" w:styleId="12">
    <w:name w:val="annotation reference"/>
    <w:qFormat/>
    <w:uiPriority w:val="99"/>
    <w:rPr>
      <w:sz w:val="21"/>
      <w:szCs w:val="21"/>
    </w:rPr>
  </w:style>
  <w:style w:type="character" w:customStyle="1" w:styleId="13">
    <w:name w:val="页脚 Char"/>
    <w:link w:val="5"/>
    <w:qFormat/>
    <w:uiPriority w:val="99"/>
    <w:rPr>
      <w:sz w:val="18"/>
      <w:szCs w:val="18"/>
    </w:rPr>
  </w:style>
  <w:style w:type="character" w:customStyle="1" w:styleId="14">
    <w:name w:val="页码1"/>
    <w:qFormat/>
    <w:uiPriority w:val="0"/>
    <w:rPr>
      <w:rFonts w:cs="Times New Roman"/>
    </w:rPr>
  </w:style>
  <w:style w:type="character" w:customStyle="1" w:styleId="15">
    <w:name w:val="页眉 Char"/>
    <w:link w:val="6"/>
    <w:qFormat/>
    <w:uiPriority w:val="99"/>
    <w:rPr>
      <w:sz w:val="18"/>
      <w:szCs w:val="18"/>
    </w:rPr>
  </w:style>
  <w:style w:type="paragraph" w:customStyle="1" w:styleId="16">
    <w:name w:val="正文 + 黑体"/>
    <w:basedOn w:val="1"/>
    <w:qFormat/>
    <w:uiPriority w:val="0"/>
    <w:pPr>
      <w:tabs>
        <w:tab w:val="left" w:pos="720"/>
      </w:tabs>
      <w:autoSpaceDE w:val="0"/>
      <w:autoSpaceDN w:val="0"/>
      <w:adjustRightInd w:val="0"/>
      <w:ind w:right="18"/>
      <w:jc w:val="left"/>
    </w:pPr>
    <w:rPr>
      <w:b/>
      <w:szCs w:val="21"/>
    </w:rPr>
  </w:style>
  <w:style w:type="character" w:customStyle="1" w:styleId="17">
    <w:name w:val="批注文字 Char"/>
    <w:link w:val="3"/>
    <w:qFormat/>
    <w:uiPriority w:val="0"/>
    <w:rPr>
      <w:rFonts w:ascii="Times New Roman" w:hAnsi="Times New Roman"/>
      <w:kern w:val="2"/>
      <w:sz w:val="21"/>
    </w:rPr>
  </w:style>
  <w:style w:type="character" w:customStyle="1" w:styleId="18">
    <w:name w:val="批注主题 Char"/>
    <w:basedOn w:val="17"/>
    <w:link w:val="8"/>
    <w:qFormat/>
    <w:uiPriority w:val="0"/>
    <w:rPr>
      <w:rFonts w:ascii="Times New Roman" w:hAnsi="Times New Roman"/>
      <w:kern w:val="2"/>
      <w:sz w:val="21"/>
    </w:rPr>
  </w:style>
  <w:style w:type="paragraph" w:styleId="19">
    <w:name w:val="List Paragraph"/>
    <w:basedOn w:val="1"/>
    <w:qFormat/>
    <w:uiPriority w:val="34"/>
    <w:pPr>
      <w:ind w:firstLine="420" w:firstLineChars="200"/>
    </w:pPr>
  </w:style>
  <w:style w:type="paragraph" w:customStyle="1" w:styleId="20">
    <w:name w:val="a"/>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1">
    <w:name w:val="标题 3 Char"/>
    <w:link w:val="2"/>
    <w:qFormat/>
    <w:uiPriority w:val="0"/>
    <w:rPr>
      <w:rFonts w:ascii="Times New Roman" w:hAnsi="Times New Roman"/>
      <w:b/>
      <w:bCs/>
      <w:kern w:val="2"/>
      <w:sz w:val="32"/>
      <w:szCs w:val="32"/>
    </w:rPr>
  </w:style>
  <w:style w:type="paragraph" w:customStyle="1" w:styleId="22">
    <w:name w:val="列出段落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1AC5B5-4616-4FA8-AAE0-1018A2EEEDC9}">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11</Pages>
  <Words>1201</Words>
  <Characters>6850</Characters>
  <Lines>57</Lines>
  <Paragraphs>16</Paragraphs>
  <TotalTime>8</TotalTime>
  <ScaleCrop>false</ScaleCrop>
  <LinksUpToDate>false</LinksUpToDate>
  <CharactersWithSpaces>8035</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2019-04-11T09:56:00Z</dcterms:created>
  <dc:creator>lizm</dc:creator>
  <cp:lastModifiedBy>sphil</cp:lastModifiedBy>
  <dcterms:modified xsi:type="dcterms:W3CDTF">2020-07-21T01:53:38Z</dcterms:modified>
  <dc:title>宝付网络科技（上海）有限公司网络支付合作协议</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